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AIF</w:t>
      </w:r>
      <w:r>
        <w:t xml:space="preserve"> </w:t>
      </w:r>
      <w:r>
        <w:t xml:space="preserve">Methodology</w:t>
      </w:r>
      <w:r>
        <w:t xml:space="preserve"> </w:t>
      </w:r>
      <w:r>
        <w:t xml:space="preserve">Manual</w:t>
      </w:r>
    </w:p>
    <w:p>
      <w:pPr>
        <w:pStyle w:val="Subtitle"/>
      </w:pPr>
      <w:r>
        <w:t xml:space="preserve">Agentic</w:t>
      </w:r>
      <w:r>
        <w:t xml:space="preserve"> </w:t>
      </w:r>
      <w:r>
        <w:t xml:space="preserve">Industry</w:t>
      </w:r>
      <w:r>
        <w:t xml:space="preserve"> </w:t>
      </w:r>
      <w:r>
        <w:t xml:space="preserve">Frameworks</w:t>
      </w:r>
    </w:p>
    <w:p>
      <w:pPr>
        <w:pStyle w:val="Author"/>
      </w:pPr>
      <w:r>
        <w:t xml:space="preserve">Capgemini</w:t>
      </w:r>
      <w:r>
        <w:t xml:space="preserve"> </w:t>
      </w:r>
      <w:r>
        <w:t xml:space="preserve">Invent</w:t>
      </w:r>
      <w:r>
        <w:t xml:space="preserve"> </w:t>
      </w:r>
      <w:r>
        <w:t xml:space="preserve">—</w:t>
      </w:r>
      <w:r>
        <w:t xml:space="preserve"> </w:t>
      </w:r>
      <w:r>
        <w:t xml:space="preserve">AIF</w:t>
      </w:r>
      <w:r>
        <w:t xml:space="preserve"> </w:t>
      </w:r>
      <w:r>
        <w:t xml:space="preserve">Design</w:t>
      </w:r>
      <w:r>
        <w:t xml:space="preserve"> </w:t>
      </w:r>
      <w:r>
        <w:t xml:space="preserve">Team</w:t>
      </w:r>
    </w:p>
    <w:p>
      <w:pPr>
        <w:pStyle w:val="Date"/>
        <w:spacing w:after="480"/>
      </w:pPr>
      <w:r>
        <w:t xml:space="preserve">2026/09/06</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DocumentMetadata"/>
      </w:pPr>
      <w:r>
        <w:rPr>
          <w:b/>
        </w:rPr>
        <w:t xml:space="preserve">Version:</w:t>
      </w:r>
      <w:r>
        <w:t xml:space="preserve"> </w:t>
      </w:r>
      <w:r>
        <w:t xml:space="preserve">1.9</w:t>
      </w:r>
    </w:p>
    <w:p>
      <w:pPr>
        <w:pStyle w:val="DocumentMetadata"/>
      </w:pPr>
      <w:r>
        <w:rPr>
          <w:b/>
        </w:rPr>
        <w:t xml:space="preserve">Date:</w:t>
      </w:r>
      <w:r>
        <w:t xml:space="preserve"> </w:t>
      </w:r>
      <w:r>
        <w:t xml:space="preserve">2026/09/06</w:t>
      </w:r>
    </w:p>
    <w:p>
      <w:pPr>
        <w:pStyle w:val="DocumentMetadata"/>
      </w:pPr>
      <w:r>
        <w:rPr>
          <w:b/>
        </w:rPr>
        <w:t xml:space="preserve">Purpose:</w:t>
      </w:r>
      <w:r>
        <w:t xml:space="preserve"> </w:t>
      </w:r>
      <w:r>
        <w:t xml:space="preserve">Definitive reference for what the Agentic Industry Framework is, how it is structured, and the principles and tooling that govern all work within it.</w:t>
      </w:r>
    </w:p>
    <w:p>
      <w:pPr>
        <w:pStyle w:val="DocumentMetadata"/>
      </w:pPr>
      <w:r>
        <w:rPr>
          <w:b/>
        </w:rPr>
        <w:t xml:space="preserve">Audience:</w:t>
      </w:r>
      <w:r>
        <w:t xml:space="preserve"> </w:t>
      </w:r>
      <w:r>
        <w:t xml:space="preserve">AIF practitioners, framework designers, and any person commissioning or reviewing work produced within the AIF.</w:t>
      </w:r>
    </w:p>
    <w:p>
      <w:pPr>
        <w:pStyle w:val="BodyText"/>
      </w:pPr>
      <w:r>
        <w:t xml:space="preserve">This document is maintained by the Documentation Update Agent (</w:t>
      </w:r>
      <w:r>
        <w:rPr>
          <w:rStyle w:val="VerbatimChar"/>
        </w:rPr>
        <w:t xml:space="preserve">Prompts/Documentation/Documentation_Update_Agent.md</w:t>
      </w:r>
      <w:r>
        <w:t xml:space="preserve">). Updates are triggered by changes to the tooling changelogs or by a scheduled innovation scan. All changes must be logged in</w:t>
      </w:r>
      <w:r>
        <w:t xml:space="preserve"> </w:t>
      </w:r>
      <w:r>
        <w:rPr>
          <w:rStyle w:val="VerbatimChar"/>
        </w:rPr>
        <w:t xml:space="preserve">Prompts/Documentation/Documentation_CHANGELOG.md</w:t>
      </w:r>
      <w:r>
        <w:t xml:space="preserve">.</w:t>
      </w:r>
    </w:p>
    <w:p>
      <w:r>
        <w:pict>
          <v:rect style="width:0;height:1.5pt" o:hralign="center" o:hrstd="t" o:hr="t"/>
        </w:pict>
      </w:r>
    </w:p>
    <w:p>
      <w:pPr>
        <w:pStyle w:val="Heading2"/>
        <w:pageBreakBefore/>
      </w:pPr>
      <w:bookmarkStart w:id="21" w:name="purpose-and-audience"/>
      <w:r>
        <w:t xml:space="preserve">1. Purpose and Audience</w:t>
      </w:r>
      <w:bookmarkEnd w:id="21"/>
    </w:p>
    <w:p>
      <w:pPr>
        <w:pStyle w:val="FirstParagraph"/>
      </w:pPr>
      <w:r>
        <w:t xml:space="preserve">This document is the primary reference for understanding the Agentic Industry Framework (AIF). It defines what the framework is, the principles that govern its design, the key concepts required to use it correctly, and the complete tooling inventory across all pipeline stages. It does not contain step-by-step operating instructions — those are in the AIF Practitioner Playbook. What it contains is the</w:t>
      </w:r>
      <w:r>
        <w:t xml:space="preserve"> </w:t>
      </w:r>
      <w:r>
        <w:rPr>
          <w:i/>
        </w:rPr>
        <w:t xml:space="preserve">why</w:t>
      </w:r>
      <w:r>
        <w:t xml:space="preserve"> </w:t>
      </w:r>
      <w:r>
        <w:t xml:space="preserve">and the</w:t>
      </w:r>
      <w:r>
        <w:t xml:space="preserve"> </w:t>
      </w:r>
      <w:r>
        <w:rPr>
          <w:i/>
        </w:rPr>
        <w:t xml:space="preserve">what</w:t>
      </w:r>
      <w:r>
        <w:t xml:space="preserve"> </w:t>
      </w:r>
      <w:r>
        <w:t xml:space="preserve">that the Playbook’s steps are based on.</w:t>
      </w:r>
    </w:p>
    <w:p>
      <w:pPr>
        <w:pStyle w:val="BodyText"/>
      </w:pPr>
      <w:r>
        <w:rPr>
          <w:b/>
        </w:rPr>
        <w:t xml:space="preserve">Read this document if you are:</w:t>
      </w:r>
      <w:r>
        <w:t xml:space="preserve"> </w:t>
      </w:r>
      <w:r>
        <w:t xml:space="preserve">- Starting your first engagement with the AIF and need a complete orientation</w:t>
      </w:r>
      <w:r>
        <w:t xml:space="preserve"> </w:t>
      </w:r>
      <w:r>
        <w:t xml:space="preserve">- Designing a new AIF vertical for a new industry sector</w:t>
      </w:r>
      <w:r>
        <w:t xml:space="preserve"> </w:t>
      </w:r>
      <w:r>
        <w:t xml:space="preserve">- Reviewing work produced within the AIF and need to understand the methodology behind it</w:t>
      </w:r>
      <w:r>
        <w:t xml:space="preserve"> </w:t>
      </w:r>
      <w:r>
        <w:t xml:space="preserve">- Onboarding a new team member to an in-progress framework build</w:t>
      </w:r>
    </w:p>
    <w:p>
      <w:pPr>
        <w:pStyle w:val="BodyText"/>
      </w:pPr>
      <w:r>
        <w:rPr>
          <w:b/>
        </w:rPr>
        <w:t xml:space="preserve">Do not expect this document to tell you:</w:t>
      </w:r>
      <w:r>
        <w:t xml:space="preserve"> </w:t>
      </w:r>
      <w:r>
        <w:t xml:space="preserve">- Which Cowork session to run next (that is the Playbook)</w:t>
      </w:r>
      <w:r>
        <w:t xml:space="preserve"> </w:t>
      </w:r>
      <w:r>
        <w:t xml:space="preserve">- How to facilitate the L1 workshop (that is the Facilitator’s Guide)</w:t>
      </w:r>
      <w:r>
        <w:t xml:space="preserve"> </w:t>
      </w:r>
      <w:r>
        <w:t xml:space="preserve">- What to tell workshop participants (that is the Participant’s Guide)</w:t>
      </w:r>
    </w:p>
    <w:p>
      <w:r>
        <w:pict>
          <v:rect style="width:0;height:1.5pt" o:hralign="center" o:hrstd="t" o:hr="t"/>
        </w:pict>
      </w:r>
    </w:p>
    <w:p>
      <w:pPr>
        <w:pStyle w:val="Heading2"/>
      </w:pPr>
      <w:bookmarkStart w:id="22" w:name="what-the-aif-is"/>
      <w:r>
        <w:t xml:space="preserve">2. What the AIF Is</w:t>
      </w:r>
      <w:bookmarkEnd w:id="22"/>
    </w:p>
    <w:p>
      <w:pPr>
        <w:pStyle w:val="FirstParagraph"/>
      </w:pPr>
      <w:r>
        <w:t xml:space="preserve">The Agentic Industry Framework (AIF) is a structured methodology for designing agentic process architectures across industry verticals. It defines, at three levels of granularity, how work in a given industry or sector can be executed by a combination of AI agents and human professionals — specifying which steps agents perform autonomously, which require human decision or oversight, and how the two work together within a governed, observable, and trustworthy system.</w:t>
      </w:r>
    </w:p>
    <w:p>
      <w:pPr>
        <w:pStyle w:val="BodyText"/>
      </w:pPr>
      <w:r>
        <w:t xml:space="preserve">Each AIF vertical is a complete, self-contained framework for one industry domain. The Capital Performance framework, for example, covers capital delivery for energy and utilities organisations across the complete project lifecycle from approval to end-of-life return. The methodology, tooling, and conventions described in this document apply to all verticals equally; each vertical adds industry-specific content (regulatory landscape, professional roles, standards, domain concepts) within that shared structure.</w:t>
      </w:r>
    </w:p>
    <w:p>
      <w:pPr>
        <w:pStyle w:val="Heading3"/>
      </w:pPr>
      <w:bookmarkStart w:id="23" w:name="the-level-hierarchy"/>
      <w:r>
        <w:t xml:space="preserve">2.1 The Level Hierarchy</w:t>
      </w:r>
      <w:bookmarkEnd w:id="23"/>
    </w:p>
    <w:p>
      <w:pPr>
        <w:pStyle w:val="FirstParagraph"/>
      </w:pPr>
      <w:r>
        <w:t xml:space="preserve">Every AIF vertical is structured across three levels of design granularity:</w:t>
      </w:r>
    </w:p>
    <w:tbl>
      <w:tblPr>
        <w:tblStyle w:val="TableGrid"/>
        <w:tblW w:type="pct" w:w="5000.0"/>
        <w:tblLook w:firstRow="1"/>
      </w:tblPr>
      <w:tblGrid>
        <w:gridCol w:w="1848"/>
        <w:gridCol w:w="1584"/>
        <w:gridCol w:w="4488"/>
      </w:tblGrid>
      <w:tr>
        <w:trPr>
          <w:cnfStyle w:firstRow="1"/>
        </w:trPr>
        <w:tc>
          <w:tcPr>
            <w:tcBorders>
              <w:bottom w:val="single"/>
            </w:tcBorders>
            <w:vAlign w:val="bottom"/>
            <w:shd w:val="clear" w:color="auto" w:fill="1B3A6B"/>
          </w:tcPr>
          <w:p>
            <w:pPr>
              <w:pStyle w:val="Compact"/>
              <w:jc w:val="left"/>
            </w:pPr>
            <w:r>
              <w:rPr>
                <w:b/>
                <w:color w:val="FFFFFF"/>
              </w:rPr>
              <w:t xml:space="preserve">Level</w:t>
            </w:r>
          </w:p>
        </w:tc>
        <w:tc>
          <w:tcPr>
            <w:tcBorders>
              <w:bottom w:val="single"/>
            </w:tcBorders>
            <w:vAlign w:val="bottom"/>
            <w:shd w:val="clear" w:color="auto" w:fill="1B3A6B"/>
          </w:tcPr>
          <w:p>
            <w:pPr>
              <w:pStyle w:val="Compact"/>
              <w:jc w:val="left"/>
            </w:pPr>
            <w:r>
              <w:rPr>
                <w:b/>
                <w:color w:val="FFFFFF"/>
              </w:rPr>
              <w:t xml:space="preserve">Name</w:t>
            </w:r>
          </w:p>
        </w:tc>
        <w:tc>
          <w:tcPr>
            <w:tcBorders>
              <w:bottom w:val="single"/>
            </w:tcBorders>
            <w:vAlign w:val="bottom"/>
            <w:shd w:val="clear" w:color="auto" w:fill="1B3A6B"/>
          </w:tcPr>
          <w:p>
            <w:pPr>
              <w:pStyle w:val="Compact"/>
              <w:jc w:val="left"/>
            </w:pPr>
            <w:r>
              <w:rPr>
                <w:b/>
                <w:color w:val="FFFFFF"/>
              </w:rPr>
              <w:t xml:space="preserve">What it defines</w:t>
            </w:r>
          </w:p>
        </w:tc>
      </w:tr>
      <w:tr>
        <w:tc>
          <w:p>
            <w:pPr>
              <w:pStyle w:val="Compact"/>
              <w:jc w:val="left"/>
            </w:pPr>
            <w:r>
              <w:rPr>
                <w:b/>
              </w:rPr>
              <w:t xml:space="preserve">L1</w:t>
            </w:r>
          </w:p>
        </w:tc>
        <w:tc>
          <w:p>
            <w:pPr>
              <w:pStyle w:val="Compact"/>
              <w:jc w:val="left"/>
            </w:pPr>
            <w:r>
              <w:t xml:space="preserve">Macro Process</w:t>
            </w:r>
          </w:p>
        </w:tc>
        <w:tc>
          <w:p>
            <w:pPr>
              <w:pStyle w:val="Compact"/>
              <w:jc w:val="left"/>
            </w:pPr>
            <w:r>
              <w:t xml:space="preserve">The value stream: gate-to-gate macro processes and the foundational design decisions that govern the framework</w:t>
            </w:r>
          </w:p>
        </w:tc>
      </w:tr>
      <w:tr>
        <w:tc>
          <w:p>
            <w:pPr>
              <w:pStyle w:val="Compact"/>
              <w:jc w:val="left"/>
            </w:pPr>
            <w:r>
              <w:rPr>
                <w:b/>
              </w:rPr>
              <w:t xml:space="preserve">L2</w:t>
            </w:r>
          </w:p>
        </w:tc>
        <w:tc>
          <w:p>
            <w:pPr>
              <w:pStyle w:val="Compact"/>
              <w:jc w:val="left"/>
            </w:pPr>
            <w:r>
              <w:t xml:space="preserve">Sub-Process</w:t>
            </w:r>
          </w:p>
        </w:tc>
        <w:tc>
          <w:p>
            <w:pPr>
              <w:pStyle w:val="Compact"/>
              <w:jc w:val="left"/>
            </w:pPr>
            <w:r>
              <w:t xml:space="preserve">SIPOC-level decomposition of each macro process; agent/human roles; Interim and Target state design</w:t>
            </w:r>
          </w:p>
        </w:tc>
      </w:tr>
      <w:tr>
        <w:tc>
          <w:p>
            <w:pPr>
              <w:pStyle w:val="Compact"/>
              <w:jc w:val="left"/>
            </w:pPr>
            <w:r>
              <w:rPr>
                <w:b/>
              </w:rPr>
              <w:t xml:space="preserve">L3</w:t>
            </w:r>
          </w:p>
        </w:tc>
        <w:tc>
          <w:p>
            <w:pPr>
              <w:pStyle w:val="Compact"/>
              <w:jc w:val="left"/>
            </w:pPr>
            <w:r>
              <w:t xml:space="preserve">Process Design</w:t>
            </w:r>
          </w:p>
        </w:tc>
        <w:tc>
          <w:p>
            <w:pPr>
              <w:pStyle w:val="Compact"/>
              <w:jc w:val="left"/>
            </w:pPr>
            <w:r>
              <w:t xml:space="preserve">Step-level elaboration of each L2 sub-process; agent system prompts; signal architecture; swimlane diagrams</w:t>
            </w:r>
          </w:p>
        </w:tc>
      </w:tr>
    </w:tbl>
    <w:p>
      <w:pPr>
        <w:pStyle w:val="BodyText"/>
      </w:pPr>
      <w:r>
        <w:t xml:space="preserve">L1 answers: what are the macro processes and where are their boundaries? L2 answers: how is each macro process decomposed into sub-processes, and what do agents and humans do in each one? L3 answers: what exactly happens at each step, and how does each agent behave?</w:t>
      </w:r>
    </w:p>
    <w:p>
      <w:pPr>
        <w:pStyle w:val="BodyText"/>
      </w:pPr>
      <w:r>
        <w:t xml:space="preserve">The three levels are explicitly sequenced: L1 decisions constrain L2 design, and L2 sub-processes constrain L3 elaboration. Work at a lower level must not reopen decisions made at a higher level without an explicit change process.</w:t>
      </w:r>
    </w:p>
    <w:p>
      <w:pPr>
        <w:pStyle w:val="Heading3"/>
      </w:pPr>
      <w:bookmarkStart w:id="24" w:name="X603e5b66c38d687d4dcba054fcef8f1f4a491ac"/>
      <w:r>
        <w:t xml:space="preserve">2.2 The Value Stream / Cross-Cutting / Enterprise Process Distinction</w:t>
      </w:r>
      <w:bookmarkEnd w:id="24"/>
    </w:p>
    <w:p>
      <w:pPr>
        <w:pStyle w:val="FirstParagraph"/>
      </w:pPr>
      <w:r>
        <w:t xml:space="preserve">Within any AIF vertical, every macro process is classified as one of three types. The classification is made once, at L1, and recorded in the L1 Decisions Log (STD-40).</w:t>
      </w:r>
    </w:p>
    <w:p>
      <w:pPr>
        <w:pStyle w:val="BodyText"/>
      </w:pPr>
      <w:r>
        <w:rPr>
          <w:b/>
        </w:rPr>
        <w:t xml:space="preserve">The test.</w:t>
      </w:r>
      <w:r>
        <w:t xml:space="preserve"> </w:t>
      </w:r>
      <w:r>
        <w:t xml:space="preserve">For every candidate macro process, ask:</w:t>
      </w:r>
    </w:p>
    <w:p>
      <w:pPr>
        <w:pStyle w:val="BlockText"/>
      </w:pPr>
      <w:r>
        <w:t xml:space="preserve">Does this process</w:t>
      </w:r>
      <w:r>
        <w:t xml:space="preserve"> </w:t>
      </w:r>
      <w:r>
        <w:rPr>
          <w:b/>
        </w:rPr>
        <w:t xml:space="preserve">enable the enterprise to exist and operate</w:t>
      </w:r>
      <w:r>
        <w:t xml:space="preserve">, or does it</w:t>
      </w:r>
      <w:r>
        <w:t xml:space="preserve"> </w:t>
      </w:r>
      <w:r>
        <w:rPr>
          <w:b/>
        </w:rPr>
        <w:t xml:space="preserve">make or sell the products and services the enterprise exists to provide</w:t>
      </w:r>
      <w:r>
        <w:t xml:space="preserve">?</w:t>
      </w:r>
    </w:p>
    <w:p>
      <w:pPr>
        <w:numPr>
          <w:ilvl w:val="0"/>
          <w:numId w:val="1001"/>
        </w:numPr>
        <w:pStyle w:val="Compact"/>
      </w:pPr>
      <w:r>
        <w:t xml:space="preserve">If it</w:t>
      </w:r>
      <w:r>
        <w:t xml:space="preserve"> </w:t>
      </w:r>
      <w:r>
        <w:rPr>
          <w:b/>
        </w:rPr>
        <w:t xml:space="preserve">makes or sells what the enterprise sells</w:t>
      </w:r>
      <w:r>
        <w:t xml:space="preserve">, it is a</w:t>
      </w:r>
      <w:r>
        <w:t xml:space="preserve"> </w:t>
      </w:r>
      <w:r>
        <w:rPr>
          <w:b/>
        </w:rPr>
        <w:t xml:space="preserve">value stream</w:t>
      </w:r>
      <w:r>
        <w:t xml:space="preserve"> </w:t>
      </w:r>
      <w:r>
        <w:t xml:space="preserve">process — designed normally.</w:t>
      </w:r>
    </w:p>
    <w:p>
      <w:pPr>
        <w:numPr>
          <w:ilvl w:val="0"/>
          <w:numId w:val="1001"/>
        </w:numPr>
        <w:pStyle w:val="Compact"/>
      </w:pPr>
      <w:r>
        <w:t xml:space="preserve">If it</w:t>
      </w:r>
      <w:r>
        <w:t xml:space="preserve"> </w:t>
      </w:r>
      <w:r>
        <w:rPr>
          <w:b/>
        </w:rPr>
        <w:t xml:space="preserve">spans and governs the value stream</w:t>
      </w:r>
      <w:r>
        <w:t xml:space="preserve"> </w:t>
      </w:r>
      <w:r>
        <w:t xml:space="preserve">without producing the outcome directly, it is</w:t>
      </w:r>
      <w:r>
        <w:t xml:space="preserve"> </w:t>
      </w:r>
      <w:r>
        <w:rPr>
          <w:b/>
        </w:rPr>
        <w:t xml:space="preserve">cross-cutting</w:t>
      </w:r>
      <w:r>
        <w:t xml:space="preserve"> </w:t>
      </w:r>
      <w:r>
        <w:t xml:space="preserve">— designed normally.</w:t>
      </w:r>
    </w:p>
    <w:p>
      <w:pPr>
        <w:numPr>
          <w:ilvl w:val="0"/>
          <w:numId w:val="1001"/>
        </w:numPr>
        <w:pStyle w:val="Compact"/>
      </w:pPr>
      <w:r>
        <w:t xml:space="preserve">If it</w:t>
      </w:r>
      <w:r>
        <w:t xml:space="preserve"> </w:t>
      </w:r>
      <w:r>
        <w:rPr>
          <w:b/>
        </w:rPr>
        <w:t xml:space="preserve">enables the enterprise</w:t>
      </w:r>
      <w:r>
        <w:t xml:space="preserve"> </w:t>
      </w:r>
      <w:r>
        <w:t xml:space="preserve">—</w:t>
      </w:r>
      <w:r>
        <w:t xml:space="preserve"> </w:t>
      </w:r>
      <w:r>
        <w:rPr>
          <w:i/>
        </w:rPr>
        <w:t xml:space="preserve">and could be lifted into another industry unchanged in both form and content</w:t>
      </w:r>
      <w:r>
        <w:t xml:space="preserve"> </w:t>
      </w:r>
      <w:r>
        <w:t xml:space="preserve">— it is an</w:t>
      </w:r>
      <w:r>
        <w:t xml:space="preserve"> </w:t>
      </w:r>
      <w:r>
        <w:rPr>
          <w:b/>
        </w:rPr>
        <w:t xml:space="preserve">enterprise process</w:t>
      </w:r>
      <w:r>
        <w:t xml:space="preserve">: elected from the Enterprise Process Catalogue and</w:t>
      </w:r>
      <w:r>
        <w:t xml:space="preserve"> </w:t>
      </w:r>
      <w:r>
        <w:rPr>
          <w:b/>
        </w:rPr>
        <w:t xml:space="preserve">declared, not designed</w:t>
      </w:r>
      <w:r>
        <w:t xml:space="preserve">.</w:t>
      </w:r>
    </w:p>
    <w:p>
      <w:pPr>
        <w:pStyle w:val="FirstParagraph"/>
      </w:pPr>
      <w:r>
        <w:t xml:space="preserve">The second clause of the third test does the real work. Genericity in</w:t>
      </w:r>
      <w:r>
        <w:t xml:space="preserve"> </w:t>
      </w:r>
      <w:r>
        <w:rPr>
          <w:i/>
        </w:rPr>
        <w:t xml:space="preserve">form</w:t>
      </w:r>
      <w:r>
        <w:t xml:space="preserve"> </w:t>
      </w:r>
      <w:r>
        <w:t xml:space="preserve">is not enough; the</w:t>
      </w:r>
      <w:r>
        <w:t xml:space="preserve"> </w:t>
      </w:r>
      <w:r>
        <w:rPr>
          <w:i/>
        </w:rPr>
        <w:t xml:space="preserve">content</w:t>
      </w:r>
      <w:r>
        <w:t xml:space="preserve"> </w:t>
      </w:r>
      <w:r>
        <w:t xml:space="preserve">must also be liftable.</w:t>
      </w:r>
    </w:p>
    <w:p>
      <w:pPr>
        <w:pStyle w:val="BodyText"/>
      </w:pPr>
      <w:r>
        <w:t xml:space="preserve">But</w:t>
      </w:r>
      <w:r>
        <w:t xml:space="preserve"> </w:t>
      </w:r>
      <w:r>
        <w:t xml:space="preserve">“</w:t>
      </w:r>
      <w:r>
        <w:t xml:space="preserve">not liftable</w:t>
      </w:r>
      <w:r>
        <w:t xml:space="preserve">”</w:t>
      </w:r>
      <w:r>
        <w:t xml:space="preserve"> </w:t>
      </w:r>
      <w:r>
        <w:t xml:space="preserve">has two different consequences, and confusing them is the commonest error:</w:t>
      </w:r>
    </w:p>
    <w:p>
      <w:pPr>
        <w:numPr>
          <w:ilvl w:val="0"/>
          <w:numId w:val="1002"/>
        </w:numPr>
        <w:pStyle w:val="Compact"/>
      </w:pPr>
      <w:r>
        <w:rPr>
          <w:b/>
        </w:rPr>
        <w:t xml:space="preserve">The framework needs the design to carry something specific for it.</w:t>
      </w:r>
      <w:r>
        <w:t xml:space="preserve"> </w:t>
      </w:r>
      <w:r>
        <w:t xml:space="preserve">Nuclear operator competence is the worked case: an operator still needs the same generic qualification tracking every industry needs,</w:t>
      </w:r>
      <w:r>
        <w:t xml:space="preserve"> </w:t>
      </w:r>
      <w:r>
        <w:rPr>
          <w:i/>
        </w:rPr>
        <w:t xml:space="preserve">and</w:t>
      </w:r>
      <w:r>
        <w:t xml:space="preserve"> </w:t>
      </w:r>
      <w:r>
        <w:t xml:space="preserve">the design has to carry the licensing dimension. The entry is</w:t>
      </w:r>
      <w:r>
        <w:t xml:space="preserve"> </w:t>
      </w:r>
      <w:r>
        <w:rPr>
          <w:b/>
        </w:rPr>
        <w:t xml:space="preserve">declared</w:t>
      </w:r>
      <w:r>
        <w:t xml:space="preserve"> </w:t>
      </w:r>
      <w:r>
        <w:t xml:space="preserve">from the catalogue and a</w:t>
      </w:r>
      <w:r>
        <w:t xml:space="preserve"> </w:t>
      </w:r>
      <w:r>
        <w:rPr>
          <w:b/>
        </w:rPr>
        <w:t xml:space="preserve">requirement</w:t>
      </w:r>
      <w:r>
        <w:t xml:space="preserve"> </w:t>
      </w:r>
      <w:r>
        <w:t xml:space="preserve">is recorded against the scope item.</w:t>
      </w:r>
      <w:r>
        <w:t xml:space="preserve"> </w:t>
      </w:r>
      <w:r>
        <w:rPr>
          <w:b/>
        </w:rPr>
        <w:t xml:space="preserve">The framework states what it needs; it does not design part of an enterprise process.</w:t>
      </w:r>
      <w:r>
        <w:t xml:space="preserve"> </w:t>
      </w:r>
      <w:r>
        <w:t xml:space="preserve">Recorded as</w:t>
      </w:r>
      <w:r>
        <w:t xml:space="preserve"> </w:t>
      </w:r>
      <w:r>
        <w:rPr>
          <w:rStyle w:val="VerbatimChar"/>
        </w:rPr>
        <w:t xml:space="preserve">declared</w:t>
      </w:r>
      <w:r>
        <w:t xml:space="preserve"> </w:t>
      </w:r>
      <w:r>
        <w:t xml:space="preserve">with a</w:t>
      </w:r>
      <w:r>
        <w:t xml:space="preserve"> </w:t>
      </w:r>
      <w:r>
        <w:rPr>
          <w:rStyle w:val="VerbatimChar"/>
        </w:rPr>
        <w:t xml:space="preserve">requirements[]</w:t>
      </w:r>
      <w:r>
        <w:t xml:space="preserve"> </w:t>
      </w:r>
      <w:r>
        <w:t xml:space="preserve">entry naming the scope item, what is required, and optionally the macro process that raises it.</w:t>
      </w:r>
    </w:p>
    <w:p>
      <w:pPr>
        <w:numPr>
          <w:ilvl w:val="0"/>
          <w:numId w:val="1002"/>
        </w:numPr>
        <w:pStyle w:val="Compact"/>
      </w:pPr>
      <w:r>
        <w:rPr>
          <w:b/>
        </w:rPr>
        <w:t xml:space="preserve">The framework needs process of its own.</w:t>
      </w:r>
      <w:r>
        <w:t xml:space="preserve"> </w:t>
      </w:r>
      <w:r>
        <w:t xml:space="preserve">It designs that under its</w:t>
      </w:r>
      <w:r>
        <w:t xml:space="preserve"> </w:t>
      </w:r>
      <w:r>
        <w:rPr>
          <w:b/>
        </w:rPr>
        <w:t xml:space="preserve">own</w:t>
      </w:r>
      <w:r>
        <w:t xml:space="preserve"> </w:t>
      </w:r>
      <w:r>
        <w:t xml:space="preserve">non-reserved macro ID, exactly as it would any other framework content, and records a requirement against the scope item it depends on. The scope item never leaves the catalogue entry — there is no carve-out mechanism, and reaching for one was what invited a framework to rebuild the generic capability it was supposed to inherit.</w:t>
      </w:r>
    </w:p>
    <w:p>
      <w:pPr>
        <w:pStyle w:val="FirstParagraph"/>
      </w:pPr>
      <w:r>
        <w:t xml:space="preserve">The three types:</w:t>
      </w:r>
    </w:p>
    <w:p>
      <w:pPr>
        <w:numPr>
          <w:ilvl w:val="0"/>
          <w:numId w:val="1003"/>
        </w:numPr>
      </w:pPr>
      <w:r>
        <w:rPr>
          <w:b/>
        </w:rPr>
        <w:t xml:space="preserve">Value stream processes</w:t>
      </w:r>
      <w:r>
        <w:t xml:space="preserve"> </w:t>
      </w:r>
      <w:r>
        <w:t xml:space="preserve">— the core delivery chain. These are the processes that directly produce the primary outcome of the vertical. In Capital Performance, the value stream is D2P → C2D → D2C → C2C → I2R (the capital project lifecycle). Value stream processes are gate-to-gate: each has a defined trigger and a defined hand-off to the next.</w:t>
      </w:r>
    </w:p>
    <w:p>
      <w:pPr>
        <w:numPr>
          <w:ilvl w:val="0"/>
          <w:numId w:val="1003"/>
        </w:numPr>
      </w:pPr>
      <w:r>
        <w:rPr>
          <w:b/>
        </w:rPr>
        <w:t xml:space="preserve">Cross-cutting processes</w:t>
      </w:r>
      <w:r>
        <w:t xml:space="preserve"> </w:t>
      </w:r>
      <w:r>
        <w:t xml:space="preserve">— processes that operate continuously across the full value stream rather than within a single stage. They do not produce the primary outcome directly, but they make the outcome governable, measurable, and optimisable. In Capital Performance, P2O (Programme to Outcome) is the canonical cross-cutting process: it monitors, governs, and escalates across D2P → C2D → D2C → C2C → I2R simultaneously. Cross-cutting processes are typically designed after the value stream is established, as their scope is defined by the value stream they span.</w:t>
      </w:r>
    </w:p>
    <w:p>
      <w:pPr>
        <w:numPr>
          <w:ilvl w:val="0"/>
          <w:numId w:val="1003"/>
        </w:numPr>
      </w:pPr>
      <w:r>
        <w:rPr>
          <w:b/>
        </w:rPr>
        <w:t xml:space="preserve">Enterprise processes</w:t>
      </w:r>
      <w:r>
        <w:t xml:space="preserve"> </w:t>
      </w:r>
      <w:r>
        <w:t xml:space="preserve">— processes that enable the enterprise rather than make what it sells.</w:t>
      </w:r>
      <w:r>
        <w:t xml:space="preserve"> </w:t>
      </w:r>
      <w:r>
        <w:rPr>
          <w:b/>
        </w:rPr>
        <w:t xml:space="preserve">They are not designed in the vertical.</w:t>
      </w:r>
      <w:r>
        <w:t xml:space="preserve"> </w:t>
      </w:r>
      <w:r>
        <w:t xml:space="preserve">Each framework</w:t>
      </w:r>
      <w:r>
        <w:t xml:space="preserve"> </w:t>
      </w:r>
      <w:r>
        <w:rPr>
          <w:i/>
        </w:rPr>
        <w:t xml:space="preserve">elects</w:t>
      </w:r>
      <w:r>
        <w:t xml:space="preserve"> </w:t>
      </w:r>
      <w:r>
        <w:t xml:space="preserve">entries from the shared</w:t>
      </w:r>
      <w:r>
        <w:t xml:space="preserve"> </w:t>
      </w:r>
      <w:r>
        <w:rPr>
          <w:b/>
        </w:rPr>
        <w:t xml:space="preserve">Enterprise Process Catalogue</w:t>
      </w:r>
      <w:r>
        <w:t xml:space="preserve"> </w:t>
      </w:r>
      <w:r>
        <w:t xml:space="preserve">(</w:t>
      </w:r>
      <w:r>
        <w:rPr>
          <w:rStyle w:val="VerbatimChar"/>
        </w:rPr>
        <w:t xml:space="preserve">Prompts/Standards/AIF_Enterprise_Processes.md</w:t>
      </w:r>
      <w:r>
        <w:t xml:space="preserve">, STD-38) and records a status against every entry:</w:t>
      </w:r>
      <w:r>
        <w:t xml:space="preserve"> </w:t>
      </w:r>
      <w:r>
        <w:rPr>
          <w:rStyle w:val="VerbatimChar"/>
        </w:rPr>
        <w:t xml:space="preserve">not-applicable</w:t>
      </w:r>
      <w:r>
        <w:t xml:space="preserve">,</w:t>
      </w:r>
      <w:r>
        <w:t xml:space="preserve"> </w:t>
      </w:r>
      <w:r>
        <w:rPr>
          <w:rStyle w:val="VerbatimChar"/>
        </w:rPr>
        <w:t xml:space="preserve">declared</w:t>
      </w:r>
      <w:r>
        <w:t xml:space="preserve">, or</w:t>
      </w:r>
      <w:r>
        <w:t xml:space="preserve"> </w:t>
      </w:r>
      <w:r>
        <w:rPr>
          <w:rStyle w:val="VerbatimChar"/>
        </w:rPr>
        <w:t xml:space="preserve">designed-here</w:t>
      </w:r>
      <w:r>
        <w:t xml:space="preserve">. A declared enterprise process has no sub-processes, agents, HITL checkpoints or SIPOCs in this framework — only a declaration and a reason. H2R (Hire to Retire), P2P (Procure to Pay) and R2R (Record to Report) are catalogue entries: they are</w:t>
      </w:r>
      <w:r>
        <w:t xml:space="preserve"> </w:t>
      </w:r>
      <w:r>
        <w:rPr>
          <w:b/>
        </w:rPr>
        <w:t xml:space="preserve">declared, never built in-vertical</w:t>
      </w:r>
      <w:r>
        <w:t xml:space="preserve">.</w:t>
      </w:r>
    </w:p>
    <w:p>
      <w:pPr>
        <w:pStyle w:val="FirstParagraph"/>
      </w:pPr>
      <w:r>
        <w:rPr>
          <w:b/>
        </w:rPr>
        <w:t xml:space="preserve">Some catalogue entries are scoped to a tail.</w:t>
      </w:r>
      <w:r>
        <w:t xml:space="preserve"> </w:t>
      </w:r>
      <w:r>
        <w:t xml:space="preserve">For P2P, O2C and R2A the catalogue covers only the transactional or administrative tail — the head, which shapes what the enterprise sells, stays in the framework. Category strategy and direct-materials sourcing are framework content; PO → receipt → invoice match → payment is the catalogue’s. Which obligations apply to a product is framework content; how a control register is run is the catalogue’s. The catalogue states the split per entry.</w:t>
      </w:r>
    </w:p>
    <w:p>
      <w:pPr>
        <w:pStyle w:val="BodyText"/>
      </w:pPr>
      <w:r>
        <w:rPr>
          <w:b/>
        </w:rPr>
        <w:t xml:space="preserve">A process is never both.</w:t>
      </w:r>
      <w:r>
        <w:t xml:space="preserve"> </w:t>
      </w:r>
      <w:r>
        <w:t xml:space="preserve">Where the test puts a process on the product side, it is simply not a catalogue entry — it is a value stream or cross-cutting macro process, designed normally. For a network utility, acquiring and constructing assets</w:t>
      </w:r>
      <w:r>
        <w:t xml:space="preserve"> </w:t>
      </w:r>
      <w:r>
        <w:rPr>
          <w:i/>
        </w:rPr>
        <w:t xml:space="preserve">is</w:t>
      </w:r>
      <w:r>
        <w:t xml:space="preserve"> </w:t>
      </w:r>
      <w:r>
        <w:t xml:space="preserve">the service, so Capital Performance’s asset-creation spine is value stream, not an enterprise process. There is no</w:t>
      </w:r>
      <w:r>
        <w:t xml:space="preserve"> </w:t>
      </w:r>
      <w:r>
        <w:t xml:space="preserve">“</w:t>
      </w:r>
      <w:r>
        <w:t xml:space="preserve">elect it and design it anyway</w:t>
      </w:r>
      <w:r>
        <w:t xml:space="preserve">”</w:t>
      </w:r>
      <w:r>
        <w:t xml:space="preserve"> </w:t>
      </w:r>
      <w:r>
        <w:t xml:space="preserve">outcome.</w:t>
      </w:r>
    </w:p>
    <w:p>
      <w:pPr>
        <w:pStyle w:val="BodyText"/>
      </w:pPr>
      <w:r>
        <w:rPr>
          <w:b/>
        </w:rPr>
        <w:t xml:space="preserve">But that is a classification outcome, not an election outcome.</w:t>
      </w:r>
      <w:r>
        <w:t xml:space="preserve"> </w:t>
      </w:r>
      <w:r>
        <w:t xml:space="preserve">A catalogue entry names the enterprise’s</w:t>
      </w:r>
      <w:r>
        <w:t xml:space="preserve"> </w:t>
      </w:r>
      <w:r>
        <w:rPr>
          <w:b/>
        </w:rPr>
        <w:t xml:space="preserve">own instance</w:t>
      </w:r>
      <w:r>
        <w:t xml:space="preserve"> </w:t>
      </w:r>
      <w:r>
        <w:t xml:space="preserve">of that process (STD-38 §1.1), so selling a capability an entry resembles never on its own makes the entry inapplicable: a business that builds software as its product still runs its own technology and AI estate, and still declares</w:t>
      </w:r>
      <w:r>
        <w:t xml:space="preserve"> </w:t>
      </w:r>
      <w:r>
        <w:rPr>
          <w:rStyle w:val="VerbatimChar"/>
        </w:rPr>
        <w:t xml:space="preserve">D2D</w:t>
      </w:r>
      <w:r>
        <w:t xml:space="preserve">. Nor does buying it — outsourcing execution leaves the enterprise selecting the provider, setting service levels and owning the outcome, so a framework whose payroll is run by a provider still declares</w:t>
      </w:r>
      <w:r>
        <w:t xml:space="preserve"> </w:t>
      </w:r>
      <w:r>
        <w:rPr>
          <w:rStyle w:val="VerbatimChar"/>
        </w:rPr>
        <w:t xml:space="preserve">H2R</w:t>
      </w:r>
      <w:r>
        <w:t xml:space="preserve">.</w:t>
      </w:r>
      <w:r>
        <w:t xml:space="preserve"> </w:t>
      </w:r>
      <w:r>
        <w:rPr>
          <w:rStyle w:val="VerbatimChar"/>
        </w:rPr>
        <w:t xml:space="preserve">not-applicable</w:t>
      </w:r>
      <w:r>
        <w:t xml:space="preserve"> </w:t>
      </w:r>
      <w:r>
        <w:t xml:space="preserve">is reserved for an entry that is</w:t>
      </w:r>
      <w:r>
        <w:t xml:space="preserve"> </w:t>
      </w:r>
      <w:r>
        <w:rPr>
          <w:b/>
        </w:rPr>
        <w:t xml:space="preserve">not a dependency of this framework at all</w:t>
      </w:r>
      <w:r>
        <w:t xml:space="preserve">: the activity does not occur for this enterprise (STD-38 §6.1).</w:t>
      </w:r>
    </w:p>
    <w:p>
      <w:pPr>
        <w:pStyle w:val="BodyText"/>
      </w:pPr>
      <w:r>
        <w:rPr>
          <w:b/>
        </w:rPr>
        <w:t xml:space="preserve">Where a framework needs part of an entry.</w:t>
      </w:r>
      <w:r>
        <w:t xml:space="preserve"> </w:t>
      </w:r>
      <w:r>
        <w:t xml:space="preserve">Two records exist, and the choice between them matters:</w:t>
      </w:r>
    </w:p>
    <w:p>
      <w:pPr>
        <w:numPr>
          <w:ilvl w:val="0"/>
          <w:numId w:val="1004"/>
        </w:numPr>
        <w:pStyle w:val="Compact"/>
      </w:pPr>
      <w:r>
        <w:rPr>
          <w:b/>
        </w:rPr>
        <w:t xml:space="preserve">This industry needs something specific of it</w:t>
      </w:r>
      <w:r>
        <w:t xml:space="preserve"> </w:t>
      </w:r>
      <w:r>
        <w:t xml:space="preserve">— the common case. The framework records</w:t>
      </w:r>
      <w:r>
        <w:t xml:space="preserve"> </w:t>
      </w:r>
      <w:r>
        <w:rPr>
          <w:rStyle w:val="VerbatimChar"/>
        </w:rPr>
        <w:t xml:space="preserve">declared</w:t>
      </w:r>
      <w:r>
        <w:t xml:space="preserve"> </w:t>
      </w:r>
      <w:r>
        <w:t xml:space="preserve">with a</w:t>
      </w:r>
      <w:r>
        <w:t xml:space="preserve"> </w:t>
      </w:r>
      <w:r>
        <w:rPr>
          <w:rStyle w:val="VerbatimChar"/>
        </w:rPr>
        <w:t xml:space="preserve">requirements[]</w:t>
      </w:r>
      <w:r>
        <w:t xml:space="preserve"> </w:t>
      </w:r>
      <w:r>
        <w:t xml:space="preserve">entry, naming the catalogue scope item and what is required.</w:t>
      </w:r>
      <w:r>
        <w:t xml:space="preserve"> </w:t>
      </w:r>
      <w:r>
        <w:rPr>
          <w:b/>
        </w:rPr>
        <w:t xml:space="preserve">Nothing checks whether the designing framework has satisfied it</w:t>
      </w:r>
      <w:r>
        <w:t xml:space="preserve">, deliberately: the designer may hold no content yet, and gating on satisfaction would block every consuming framework.</w:t>
      </w:r>
    </w:p>
    <w:p>
      <w:pPr>
        <w:numPr>
          <w:ilvl w:val="0"/>
          <w:numId w:val="1004"/>
        </w:numPr>
        <w:pStyle w:val="Compact"/>
      </w:pPr>
      <w:r>
        <w:rPr>
          <w:b/>
        </w:rPr>
        <w:t xml:space="preserve">This framework designs the entry’s subject matter</w:t>
      </w:r>
      <w:r>
        <w:t xml:space="preserve"> </w:t>
      </w:r>
      <w:r>
        <w:t xml:space="preserve">— true of exactly one framework, the one the catalogue’s</w:t>
      </w:r>
      <w:r>
        <w:t xml:space="preserve"> </w:t>
      </w:r>
      <w:r>
        <w:rPr>
          <w:rStyle w:val="VerbatimChar"/>
        </w:rPr>
        <w:t xml:space="preserve">designedBy</w:t>
      </w:r>
      <w:r>
        <w:t xml:space="preserve"> </w:t>
      </w:r>
      <w:r>
        <w:t xml:space="preserve">names. It records</w:t>
      </w:r>
      <w:r>
        <w:t xml:space="preserve"> </w:t>
      </w:r>
      <w:r>
        <w:rPr>
          <w:rStyle w:val="VerbatimChar"/>
        </w:rPr>
        <w:t xml:space="preserve">designed-here</w:t>
      </w:r>
      <w:r>
        <w:t xml:space="preserve">, and no other framework may.</w:t>
      </w:r>
    </w:p>
    <w:p>
      <w:pPr>
        <w:pStyle w:val="FirstParagraph"/>
      </w:pPr>
      <w:r>
        <w:rPr>
          <w:b/>
        </w:rPr>
        <w:t xml:space="preserve">What is and is not checked.</w:t>
      </w:r>
      <w:r>
        <w:t xml:space="preserve"> </w:t>
      </w:r>
      <w:r>
        <w:t xml:space="preserve">The scope item a requirement names must exist on the catalogue entry (V06), and where a requirement names the macro process that raises it, that macro must exist in this framework (V07). The designation is cross-checked in both directions: the framework the catalogue names must record</w:t>
      </w:r>
      <w:r>
        <w:t xml:space="preserve"> </w:t>
      </w:r>
      <w:r>
        <w:rPr>
          <w:rStyle w:val="VerbatimChar"/>
        </w:rPr>
        <w:t xml:space="preserve">designed-here</w:t>
      </w:r>
      <w:r>
        <w:t xml:space="preserve">, and no other framework may (V13).</w:t>
      </w:r>
      <w:r>
        <w:t xml:space="preserve"> </w:t>
      </w:r>
      <w:r>
        <w:rPr>
          <w:b/>
        </w:rPr>
        <w:t xml:space="preserve">Whether the requirement has been satisfied is checked by nothing at all</w:t>
      </w:r>
      <w:r>
        <w:t xml:space="preserve"> </w:t>
      </w:r>
      <w:r>
        <w:t xml:space="preserve">— see the bullet above; that is a design decision, not a gap. There is no check that scope has been designed somewhere, because no scope is carved out any more: nothing leaves the entry.</w:t>
      </w:r>
    </w:p>
    <w:p>
      <w:pPr>
        <w:pStyle w:val="BodyText"/>
      </w:pPr>
      <w:r>
        <w:t xml:space="preserve">This three-way classification matters for sequencing and agent architecture. Value stream processes are designed first and in most depth. Cross-cutting processes are designed last, after the value stream sub-process architecture is stable — their agent models depend on the state and signal outputs of value stream agents. Enterprise processes are not designed at all; their election is recorded at L1 and consumed as a declared dependency.</w:t>
      </w:r>
    </w:p>
    <w:p>
      <w:pPr>
        <w:pStyle w:val="BodyText"/>
      </w:pPr>
      <w:r>
        <w:t xml:space="preserve">The L1 workshop Decision 3 (process classification) must classify every proposed macro process into one of the three types, and must record a status against</w:t>
      </w:r>
      <w:r>
        <w:t xml:space="preserve"> </w:t>
      </w:r>
      <w:r>
        <w:rPr>
          <w:b/>
        </w:rPr>
        <w:t xml:space="preserve">every</w:t>
      </w:r>
      <w:r>
        <w:t xml:space="preserve"> </w:t>
      </w:r>
      <w:r>
        <w:t xml:space="preserve">catalogue entry — including the</w:t>
      </w:r>
      <w:r>
        <w:t xml:space="preserve"> </w:t>
      </w:r>
      <w:r>
        <w:rPr>
          <w:rStyle w:val="VerbatimChar"/>
        </w:rPr>
        <w:t xml:space="preserve">not-applicable</w:t>
      </w:r>
      <w:r>
        <w:t xml:space="preserve"> </w:t>
      </w:r>
      <w:r>
        <w:t xml:space="preserve">ones, so the reasoning survives.</w:t>
      </w:r>
    </w:p>
    <w:p>
      <w:pPr>
        <w:pStyle w:val="Heading3"/>
      </w:pPr>
      <w:bookmarkStart w:id="25" w:name="framework-naming-conventions"/>
      <w:r>
        <w:t xml:space="preserve">2.3 Framework Naming Conventions</w:t>
      </w:r>
      <w:bookmarkEnd w:id="25"/>
    </w:p>
    <w:p>
      <w:pPr>
        <w:pStyle w:val="FirstParagraph"/>
      </w:pPr>
      <w:r>
        <w:t xml:space="preserve">Two naming patterns are permitted for AIF framework folders:</w:t>
      </w:r>
    </w:p>
    <w:tbl>
      <w:tblPr>
        <w:tblStyle w:val="TableGrid"/>
        <w:tblW w:type="pct" w:w="0.0"/>
        <w:tblLook w:firstRow="1"/>
      </w:tblPr>
      <w:tblGrid/>
      <w:tr>
        <w:trPr>
          <w:cnfStyle w:firstRow="1"/>
        </w:trPr>
        <w:tc>
          <w:tcPr>
            <w:tcBorders>
              <w:bottom w:val="single"/>
            </w:tcBorders>
            <w:vAlign w:val="bottom"/>
            <w:shd w:val="clear" w:color="auto" w:fill="1B3A6B"/>
          </w:tcPr>
          <w:p>
            <w:pPr>
              <w:pStyle w:val="Compact"/>
              <w:jc w:val="left"/>
            </w:pPr>
            <w:r>
              <w:rPr>
                <w:b/>
                <w:color w:val="FFFFFF"/>
              </w:rPr>
              <w:t xml:space="preserve">Pattern</w:t>
            </w:r>
          </w:p>
        </w:tc>
        <w:tc>
          <w:tcPr>
            <w:tcBorders>
              <w:bottom w:val="single"/>
            </w:tcBorders>
            <w:vAlign w:val="bottom"/>
            <w:shd w:val="clear" w:color="auto" w:fill="1B3A6B"/>
          </w:tcPr>
          <w:p>
            <w:pPr>
              <w:pStyle w:val="Compact"/>
              <w:jc w:val="left"/>
            </w:pPr>
            <w:r>
              <w:rPr>
                <w:b/>
                <w:color w:val="FFFFFF"/>
              </w:rPr>
              <w:t xml:space="preserve">Format</w:t>
            </w:r>
          </w:p>
        </w:tc>
        <w:tc>
          <w:tcPr>
            <w:tcBorders>
              <w:bottom w:val="single"/>
            </w:tcBorders>
            <w:vAlign w:val="bottom"/>
            <w:shd w:val="clear" w:color="auto" w:fill="1B3A6B"/>
          </w:tcPr>
          <w:p>
            <w:pPr>
              <w:pStyle w:val="Compact"/>
              <w:jc w:val="left"/>
            </w:pPr>
            <w:r>
              <w:rPr>
                <w:b/>
                <w:color w:val="FFFFFF"/>
              </w:rPr>
              <w:t xml:space="preserve">Example</w:t>
            </w:r>
          </w:p>
        </w:tc>
      </w:tr>
      <w:tr>
        <w:tc>
          <w:p>
            <w:pPr>
              <w:pStyle w:val="Compact"/>
              <w:jc w:val="left"/>
            </w:pPr>
            <w:r>
              <w:t xml:space="preserve">Sector — Sub-sector</w:t>
            </w:r>
          </w:p>
        </w:tc>
        <w:tc>
          <w:p>
            <w:pPr>
              <w:pStyle w:val="Compact"/>
              <w:jc w:val="left"/>
            </w:pPr>
            <w:r>
              <w:rPr>
                <w:rStyle w:val="VerbatimChar"/>
              </w:rPr>
              <w:t xml:space="preserve">SECTOR - SUB-SECTOR</w:t>
            </w:r>
          </w:p>
        </w:tc>
        <w:tc>
          <w:p>
            <w:pPr>
              <w:pStyle w:val="Compact"/>
              <w:jc w:val="left"/>
            </w:pPr>
            <w:r>
              <w:rPr>
                <w:rStyle w:val="VerbatimChar"/>
              </w:rPr>
              <w:t xml:space="preserve">Energy - Nuclear</w:t>
            </w:r>
          </w:p>
        </w:tc>
      </w:tr>
      <w:tr>
        <w:tc>
          <w:p>
            <w:pPr>
              <w:pStyle w:val="Compact"/>
              <w:jc w:val="left"/>
            </w:pPr>
            <w:r>
              <w:t xml:space="preserve">Cross-sector</w:t>
            </w:r>
          </w:p>
        </w:tc>
        <w:tc>
          <w:p>
            <w:pPr>
              <w:pStyle w:val="Compact"/>
              <w:jc w:val="left"/>
            </w:pPr>
            <w:r>
              <w:t xml:space="preserve">Descriptive name (no separator)</w:t>
            </w:r>
          </w:p>
        </w:tc>
        <w:tc>
          <w:p>
            <w:pPr>
              <w:pStyle w:val="Compact"/>
              <w:jc w:val="left"/>
            </w:pPr>
            <w:r>
              <w:rPr>
                <w:rStyle w:val="VerbatimChar"/>
              </w:rPr>
              <w:t xml:space="preserve">Capital Performance</w:t>
            </w:r>
          </w:p>
        </w:tc>
      </w:tr>
    </w:tbl>
    <w:p>
      <w:pPr>
        <w:pStyle w:val="BodyText"/>
      </w:pPr>
      <w:r>
        <w:t xml:space="preserve">The separator for sector/sub-sector names is</w:t>
      </w:r>
      <w:r>
        <w:t xml:space="preserve"> </w:t>
      </w:r>
      <w:r>
        <w:rPr>
          <w:rStyle w:val="VerbatimChar"/>
        </w:rPr>
        <w:t xml:space="preserve">-</w:t>
      </w:r>
      <w:r>
        <w:t xml:space="preserve"> </w:t>
      </w:r>
      <w:r>
        <w:t xml:space="preserve">(space, hyphen, space) — mandatory, no variations. Folder names use title case throughout. No other naming patterns are permitted.</w:t>
      </w:r>
    </w:p>
    <w:p>
      <w:r>
        <w:pict>
          <v:rect style="width:0;height:1.5pt" o:hralign="center" o:hrstd="t" o:hr="t"/>
        </w:pict>
      </w:r>
    </w:p>
    <w:p>
      <w:pPr>
        <w:pStyle w:val="Heading2"/>
      </w:pPr>
      <w:bookmarkStart w:id="26" w:name="design-principles"/>
      <w:r>
        <w:t xml:space="preserve">3. Design Principles</w:t>
      </w:r>
      <w:bookmarkEnd w:id="26"/>
    </w:p>
    <w:p>
      <w:pPr>
        <w:pStyle w:val="FirstParagraph"/>
      </w:pPr>
      <w:r>
        <w:t xml:space="preserve">Six principles govern all AIF design work. They apply at every level — L1, L2, and L3 — and to every component of the framework, including agent design, HITL placement, and tooling decisions.</w:t>
      </w:r>
    </w:p>
    <w:p>
      <w:pPr>
        <w:pStyle w:val="Heading3"/>
      </w:pPr>
      <w:bookmarkStart w:id="27" w:name="X0e7dad00f50e6f83866a56b57a4b3b8d277ba01"/>
      <w:r>
        <w:t xml:space="preserve">3.1 Leverage Scaffolding — Structured Templates, Defined Phases, Pipeline Gates</w:t>
      </w:r>
      <w:bookmarkEnd w:id="27"/>
    </w:p>
    <w:p>
      <w:pPr>
        <w:pStyle w:val="FirstParagraph"/>
      </w:pPr>
      <w:r>
        <w:t xml:space="preserve">All AIF design work uses prescribed templates, prompt phases, and mandatory gate checks. This is not bureaucracy — it is the mechanism by which quality is guaranteed and rework is prevented. A practitioner who bypasses the gate sequence because</w:t>
      </w:r>
      <w:r>
        <w:t xml:space="preserve"> </w:t>
      </w:r>
      <w:r>
        <w:t xml:space="preserve">“</w:t>
      </w:r>
      <w:r>
        <w:t xml:space="preserve">it seems fine</w:t>
      </w:r>
      <w:r>
        <w:t xml:space="preserve">”</w:t>
      </w:r>
      <w:r>
        <w:t xml:space="preserve"> </w:t>
      </w:r>
      <w:r>
        <w:t xml:space="preserve">is accepting personal responsibility for the errors the gate would have caught. The gates are non-negotiable.</w:t>
      </w:r>
    </w:p>
    <w:p>
      <w:pPr>
        <w:pStyle w:val="Heading3"/>
      </w:pPr>
      <w:bookmarkStart w:id="28" w:name="human-input-at-the-right-levels"/>
      <w:r>
        <w:t xml:space="preserve">3.2 Human Input at the Right Levels</w:t>
      </w:r>
      <w:bookmarkEnd w:id="28"/>
    </w:p>
    <w:tbl>
      <w:tblPr>
        <w:tblStyle w:val="TableGrid"/>
        <w:tblW w:type="pct" w:w="5000.0"/>
        <w:tblLook w:firstRow="1"/>
      </w:tblPr>
      <w:tblGrid>
        <w:gridCol w:w="1498"/>
        <w:gridCol w:w="4067"/>
        <w:gridCol w:w="2354"/>
      </w:tblGrid>
      <w:tr>
        <w:trPr>
          <w:cnfStyle w:firstRow="1"/>
        </w:trPr>
        <w:tc>
          <w:tcPr>
            <w:tcBorders>
              <w:bottom w:val="single"/>
            </w:tcBorders>
            <w:vAlign w:val="bottom"/>
            <w:shd w:val="clear" w:color="auto" w:fill="1B3A6B"/>
          </w:tcPr>
          <w:p>
            <w:pPr>
              <w:pStyle w:val="Compact"/>
              <w:jc w:val="left"/>
            </w:pPr>
            <w:r>
              <w:rPr>
                <w:b/>
                <w:color w:val="FFFFFF"/>
              </w:rPr>
              <w:t xml:space="preserve">Stage</w:t>
            </w:r>
          </w:p>
        </w:tc>
        <w:tc>
          <w:tcPr>
            <w:tcBorders>
              <w:bottom w:val="single"/>
            </w:tcBorders>
            <w:vAlign w:val="bottom"/>
            <w:shd w:val="clear" w:color="auto" w:fill="1B3A6B"/>
          </w:tcPr>
          <w:p>
            <w:pPr>
              <w:pStyle w:val="Compact"/>
              <w:jc w:val="left"/>
            </w:pPr>
            <w:r>
              <w:rPr>
                <w:b/>
                <w:color w:val="FFFFFF"/>
              </w:rPr>
              <w:t xml:space="preserve">Human involvement</w:t>
            </w:r>
          </w:p>
        </w:tc>
        <w:tc>
          <w:tcPr>
            <w:tcBorders>
              <w:bottom w:val="single"/>
            </w:tcBorders>
            <w:vAlign w:val="bottom"/>
            <w:shd w:val="clear" w:color="auto" w:fill="1B3A6B"/>
          </w:tcPr>
          <w:p>
            <w:pPr>
              <w:pStyle w:val="Compact"/>
              <w:jc w:val="left"/>
            </w:pPr>
            <w:r>
              <w:rPr>
                <w:b/>
                <w:color w:val="FFFFFF"/>
              </w:rPr>
              <w:t xml:space="preserve">Rationale</w:t>
            </w:r>
          </w:p>
        </w:tc>
      </w:tr>
      <w:tr>
        <w:tc>
          <w:p>
            <w:pPr>
              <w:pStyle w:val="Compact"/>
              <w:jc w:val="left"/>
            </w:pPr>
            <w:r>
              <w:t xml:space="preserve">L1 workshop</w:t>
            </w:r>
          </w:p>
        </w:tc>
        <w:tc>
          <w:p>
            <w:pPr>
              <w:pStyle w:val="Compact"/>
              <w:jc w:val="left"/>
            </w:pPr>
            <w:r>
              <w:t xml:space="preserve">Domain experts and client sponsors in the room</w:t>
            </w:r>
          </w:p>
        </w:tc>
        <w:tc>
          <w:p>
            <w:pPr>
              <w:pStyle w:val="Compact"/>
              <w:jc w:val="left"/>
            </w:pPr>
            <w:r>
              <w:t xml:space="preserve">Foundational decisions cannot be made without domain authority</w:t>
            </w:r>
          </w:p>
        </w:tc>
      </w:tr>
      <w:tr>
        <w:tc>
          <w:p>
            <w:pPr>
              <w:pStyle w:val="Compact"/>
              <w:jc w:val="left"/>
            </w:pPr>
            <w:r>
              <w:t xml:space="preserve">L2 review</w:t>
            </w:r>
          </w:p>
        </w:tc>
        <w:tc>
          <w:p>
            <w:pPr>
              <w:pStyle w:val="Compact"/>
              <w:jc w:val="left"/>
            </w:pPr>
            <w:r>
              <w:t xml:space="preserve">Stakeholder validation of AI-generated draft</w:t>
            </w:r>
          </w:p>
        </w:tc>
        <w:tc>
          <w:p>
            <w:pPr>
              <w:pStyle w:val="Compact"/>
              <w:jc w:val="left"/>
            </w:pPr>
            <w:r>
              <w:t xml:space="preserve">AI draft is a starting point, not a proposed answer</w:t>
            </w:r>
          </w:p>
        </w:tc>
      </w:tr>
      <w:tr>
        <w:tc>
          <w:p>
            <w:pPr>
              <w:pStyle w:val="Compact"/>
              <w:jc w:val="left"/>
            </w:pPr>
            <w:r>
              <w:t xml:space="preserve">L3</w:t>
            </w:r>
          </w:p>
        </w:tc>
        <w:tc>
          <w:p>
            <w:pPr>
              <w:pStyle w:val="Compact"/>
              <w:jc w:val="left"/>
            </w:pPr>
            <w:r>
              <w:t xml:space="preserve">Practitioner design and sign-off per sub-process</w:t>
            </w:r>
          </w:p>
        </w:tc>
        <w:tc>
          <w:p>
            <w:pPr>
              <w:pStyle w:val="Compact"/>
              <w:jc w:val="left"/>
            </w:pPr>
            <w:r>
              <w:t xml:space="preserve">Step-level accuracy requires professional judgement</w:t>
            </w:r>
          </w:p>
        </w:tc>
      </w:tr>
      <w:tr>
        <w:tc>
          <w:p>
            <w:pPr>
              <w:pStyle w:val="Compact"/>
              <w:jc w:val="left"/>
            </w:pPr>
            <w:r>
              <w:t xml:space="preserve">HITL placement</w:t>
            </w:r>
          </w:p>
        </w:tc>
        <w:tc>
          <w:p>
            <w:pPr>
              <w:pStyle w:val="Compact"/>
              <w:jc w:val="left"/>
            </w:pPr>
            <w:r>
              <w:t xml:space="preserve">Human expert confirms each gate meets one of four mandatory criteria</w:t>
            </w:r>
          </w:p>
        </w:tc>
        <w:tc>
          <w:p>
            <w:pPr>
              <w:pStyle w:val="Compact"/>
              <w:jc w:val="left"/>
            </w:pPr>
            <w:r>
              <w:t xml:space="preserve">Incorrect HITL placement is a design error</w:t>
            </w:r>
          </w:p>
        </w:tc>
      </w:tr>
      <w:tr>
        <w:tc>
          <w:p>
            <w:pPr>
              <w:pStyle w:val="Compact"/>
              <w:jc w:val="left"/>
            </w:pPr>
            <w:r>
              <w:t xml:space="preserve">Framework review</w:t>
            </w:r>
          </w:p>
        </w:tc>
        <w:tc>
          <w:p>
            <w:pPr>
              <w:pStyle w:val="Compact"/>
              <w:jc w:val="left"/>
            </w:pPr>
            <w:r>
              <w:t xml:space="preserve">Client/sponsor sign-off before completion gate</w:t>
            </w:r>
          </w:p>
        </w:tc>
        <w:tc>
          <w:p>
            <w:pPr>
              <w:pStyle w:val="Compact"/>
              <w:jc w:val="left"/>
            </w:pPr>
            <w:r>
              <w:t xml:space="preserve">External validation of the complete design</w:t>
            </w:r>
          </w:p>
        </w:tc>
      </w:tr>
    </w:tbl>
    <w:p>
      <w:pPr>
        <w:pStyle w:val="BodyText"/>
      </w:pPr>
      <w:r>
        <w:t xml:space="preserve">AI accelerates. Humans decide. The practitioner who delegates decisions to an AI output without validating it is not working within the AIF — they are working outside it.</w:t>
      </w:r>
    </w:p>
    <w:p>
      <w:pPr>
        <w:pStyle w:val="Heading3"/>
      </w:pPr>
      <w:bookmarkStart w:id="29" w:name="the-dual-state-model-is-non-negotiable"/>
      <w:r>
        <w:t xml:space="preserve">3.3 The Dual-State Model is Non-Negotiable</w:t>
      </w:r>
      <w:bookmarkEnd w:id="29"/>
    </w:p>
    <w:p>
      <w:pPr>
        <w:pStyle w:val="FirstParagraph"/>
      </w:pPr>
      <w:r>
        <w:t xml:space="preserve">Every AIF framework designs both an Interim State and a Target State for every sub-process and agent. There are no exceptions. The dual-state model acknowledges that organisations cannot move directly from conventional processes to fully autonomous agentic processes; the Interim State is a complete, deployable design that delivers immediate value, and the Target State is the fully autonomous endpoint the Interim State is directionally aligned towards.</w:t>
      </w:r>
    </w:p>
    <w:p>
      <w:pPr>
        <w:pStyle w:val="BodyText"/>
      </w:pPr>
      <w:r>
        <w:t xml:space="preserve">A design that specifies only Target State is incomplete. A design that specifies only Interim State has no direction. Both states must be designed.</w:t>
      </w:r>
    </w:p>
    <w:p>
      <w:pPr>
        <w:pStyle w:val="Heading3"/>
      </w:pPr>
      <w:bookmarkStart w:id="30" w:name="evolving-autonomy-narrative"/>
      <w:r>
        <w:t xml:space="preserve">3.4 Evolving Autonomy Narrative</w:t>
      </w:r>
      <w:bookmarkEnd w:id="30"/>
    </w:p>
    <w:p>
      <w:pPr>
        <w:pStyle w:val="FirstParagraph"/>
      </w:pPr>
      <w:r>
        <w:t xml:space="preserve">The AIF is not designed for a single point in time. The Interim State design reflects what is achievable now with existing technology and a realistic change management horizon. The Target State reflects what the organisation is building towards. Decisions about autonomy level are grounded in what is technically feasible and organisationally acceptable — not what is theoretically possible or commercially convenient.</w:t>
      </w:r>
    </w:p>
    <w:p>
      <w:pPr>
        <w:pStyle w:val="BodyText"/>
      </w:pPr>
      <w:r>
        <w:t xml:space="preserve">Autonomy claims at Target State must be defensible: if a step is classified as autonomous, there must be a credible path from the current Interim State capability to that target.</w:t>
      </w:r>
    </w:p>
    <w:p>
      <w:pPr>
        <w:pStyle w:val="Heading3"/>
      </w:pPr>
      <w:bookmarkStart w:id="31" w:name="Xc57e9872e8de6753a8bc5050033a5b347213d1f"/>
      <w:r>
        <w:t xml:space="preserve">3.5 Agentic Architecture is a Cross-Cutting Concern</w:t>
      </w:r>
      <w:bookmarkEnd w:id="31"/>
    </w:p>
    <w:p>
      <w:pPr>
        <w:pStyle w:val="FirstParagraph"/>
      </w:pPr>
      <w:r>
        <w:t xml:space="preserve">Agent design is not an add-on to process design — it is integral to it. The agent taxonomy defined at L2 feeds L3 design; the agent architecture synthesised from L3 feeds back to update L2. The artefact set produced post-L3 (Artefacts A–H, Section 7) is the definitive cross-process agent architecture for the macro process — it supersedes all per-sub-process references.</w:t>
      </w:r>
    </w:p>
    <w:p>
      <w:pPr>
        <w:pStyle w:val="BodyText"/>
      </w:pPr>
      <w:r>
        <w:t xml:space="preserve">The Framework Agent Register (FAR) extends this cross-cutting concern to the framework level: it tracks every agent across all macro processes and is updated after each post-L3 cycle.</w:t>
      </w:r>
    </w:p>
    <w:p>
      <w:pPr>
        <w:pStyle w:val="Heading3"/>
      </w:pPr>
      <w:bookmarkStart w:id="32" w:name="ai-accelerates-humans-decide"/>
      <w:r>
        <w:t xml:space="preserve">3.6 AI Accelerates, Humans Decide</w:t>
      </w:r>
      <w:bookmarkEnd w:id="32"/>
    </w:p>
    <w:p>
      <w:pPr>
        <w:pStyle w:val="FirstParagraph"/>
      </w:pPr>
      <w:r>
        <w:t xml:space="preserve">Every deliverable in the AIF is AI-generated and human-reviewed. The AI draft is explicitly a starting point, not a proposed answer. Practitioners who present AI-generated outputs to clients without review are not working within the AIF methodology. The facilitator review gate between agent output and workshop use is mandatory — AI-generated research contains errors, and finding an error in front of the client is the failure mode this gate prevents.</w:t>
      </w:r>
    </w:p>
    <w:p>
      <w:r>
        <w:pict>
          <v:rect style="width:0;height:1.5pt" o:hralign="center" o:hrstd="t" o:hr="t"/>
        </w:pict>
      </w:r>
    </w:p>
    <w:p>
      <w:pPr>
        <w:pStyle w:val="Heading2"/>
      </w:pPr>
      <w:bookmarkStart w:id="33" w:name="key-concepts"/>
      <w:r>
        <w:t xml:space="preserve">4. Key Concepts</w:t>
      </w:r>
      <w:bookmarkEnd w:id="33"/>
    </w:p>
    <w:p>
      <w:pPr>
        <w:pStyle w:val="Heading3"/>
      </w:pPr>
      <w:bookmarkStart w:id="34" w:name="X630d010d204906eb489b0257403e56609cef397"/>
      <w:r>
        <w:t xml:space="preserve">4.1 Dual-State Model: Interim State and Target State</w:t>
      </w:r>
      <w:bookmarkEnd w:id="34"/>
    </w:p>
    <w:p>
      <w:pPr>
        <w:pStyle w:val="FirstParagraph"/>
      </w:pPr>
      <w:r>
        <w:t xml:space="preserve">The dual-state model is the conceptual foundation of all L2 and L3 design in the AIF.</w:t>
      </w:r>
    </w:p>
    <w:p>
      <w:pPr>
        <w:pStyle w:val="BodyText"/>
      </w:pPr>
      <w:r>
        <w:rPr>
          <w:b/>
        </w:rPr>
        <w:t xml:space="preserve">Interim State</w:t>
      </w:r>
      <w:r>
        <w:t xml:space="preserve"> </w:t>
      </w:r>
      <w:r>
        <w:t xml:space="preserve">is the design for what the organisation can implement now or in the near term. It is characterised by:</w:t>
      </w:r>
      <w:r>
        <w:t xml:space="preserve"> </w:t>
      </w:r>
      <w:r>
        <w:t xml:space="preserve">- The conventional process structure is preserved; agents operate on top of it as an overlay</w:t>
      </w:r>
      <w:r>
        <w:t xml:space="preserve"> </w:t>
      </w:r>
      <w:r>
        <w:t xml:space="preserve">- Humans are the primary actors; agents check, flag, track, and notify</w:t>
      </w:r>
      <w:r>
        <w:t xml:space="preserve"> </w:t>
      </w:r>
      <w:r>
        <w:t xml:space="preserve">- Agent activation is often manually triggered (human submits data → agent processes)</w:t>
      </w:r>
      <w:r>
        <w:t xml:space="preserve"> </w:t>
      </w:r>
      <w:r>
        <w:t xml:space="preserve">- HITL frequency is high — humans are the primary decision-makers</w:t>
      </w:r>
      <w:r>
        <w:t xml:space="preserve"> </w:t>
      </w:r>
      <w:r>
        <w:t xml:space="preserve">- Agent intelligence relies on rules-based checking, standards matching, and pattern recognition</w:t>
      </w:r>
    </w:p>
    <w:p>
      <w:pPr>
        <w:pStyle w:val="BodyText"/>
      </w:pPr>
      <w:r>
        <w:rPr>
          <w:b/>
        </w:rPr>
        <w:t xml:space="preserve">Target State</w:t>
      </w:r>
      <w:r>
        <w:t xml:space="preserve"> </w:t>
      </w:r>
      <w:r>
        <w:t xml:space="preserve">is the design for what the process should look like when agents operate at full capability and organisational trust in autonomous decision-making has been established. It is characterised by:</w:t>
      </w:r>
      <w:r>
        <w:t xml:space="preserve"> </w:t>
      </w:r>
      <w:r>
        <w:t xml:space="preserve">- The process is redesigned from a zero-human baseline; human gates are added back only where mandatory</w:t>
      </w:r>
      <w:r>
        <w:t xml:space="preserve"> </w:t>
      </w:r>
      <w:r>
        <w:t xml:space="preserve">- Agents are the primary actors; autonomous, continuous, or event-triggered</w:t>
      </w:r>
      <w:r>
        <w:t xml:space="preserve"> </w:t>
      </w:r>
      <w:r>
        <w:t xml:space="preserve">- HITL frequency is low — only mandatory human gates remain</w:t>
      </w:r>
      <w:r>
        <w:t xml:space="preserve"> </w:t>
      </w:r>
      <w:r>
        <w:t xml:space="preserve">- Agent intelligence includes predictive analytics, autonomous decision-making, and continuous data ingestion</w:t>
      </w:r>
    </w:p>
    <w:p>
      <w:pPr>
        <w:pStyle w:val="BodyText"/>
      </w:pPr>
      <w:r>
        <w:t xml:space="preserve">The dual-state design is not a roadmap — it does not define</w:t>
      </w:r>
      <w:r>
        <w:t xml:space="preserve"> </w:t>
      </w:r>
      <w:r>
        <w:rPr>
          <w:i/>
        </w:rPr>
        <w:t xml:space="preserve">when</w:t>
      </w:r>
      <w:r>
        <w:t xml:space="preserve"> </w:t>
      </w:r>
      <w:r>
        <w:t xml:space="preserve">the transition happens. It defines</w:t>
      </w:r>
      <w:r>
        <w:t xml:space="preserve"> </w:t>
      </w:r>
      <w:r>
        <w:rPr>
          <w:i/>
        </w:rPr>
        <w:t xml:space="preserve">what</w:t>
      </w:r>
      <w:r>
        <w:t xml:space="preserve"> </w:t>
      </w:r>
      <w:r>
        <w:t xml:space="preserve">the transition moves towards.</w:t>
      </w:r>
    </w:p>
    <w:p>
      <w:pPr>
        <w:pStyle w:val="Heading3"/>
      </w:pPr>
      <w:bookmarkStart w:id="35" w:name="primary-orchestration-unit"/>
      <w:r>
        <w:t xml:space="preserve">4.2 Primary Orchestration Unit</w:t>
      </w:r>
      <w:bookmarkEnd w:id="35"/>
    </w:p>
    <w:p>
      <w:pPr>
        <w:pStyle w:val="FirstParagraph"/>
      </w:pPr>
      <w:r>
        <w:t xml:space="preserve">The primary orchestration unit is the primary entity around which the macro process is organised. In capital delivery, it is the project. In healthcare, it might be the patient pathway. In financial services, it might be the transaction or the client relationship. Defining the primary orchestration unit at L1 is one of the five foundational decisions of the L1 workshop — and every L2 sub-process definition implicitly references it.</w:t>
      </w:r>
    </w:p>
    <w:p>
      <w:pPr>
        <w:pStyle w:val="Heading3"/>
      </w:pPr>
      <w:bookmarkStart w:id="36" w:name="Xe3d84063596ffa76e4e66c438a4981ffd35d2f4"/>
      <w:r>
        <w:t xml:space="preserve">4.3 The HITL Decision Framework — Four Mandatory Criteria</w:t>
      </w:r>
      <w:bookmarkEnd w:id="36"/>
    </w:p>
    <w:p>
      <w:pPr>
        <w:pStyle w:val="FirstParagraph"/>
      </w:pPr>
      <w:r>
        <w:t xml:space="preserve">A Human-in-the-Loop (HITL) gate is a mandatory point in a process where a human must decide or approve before the process continues. In the AIF, HITL gates are not placed by convention or instinct — they require explicit justification against four mandatory criteria. A gate that does not satisfy at least one criterion is not a HITL gate; it is a process inefficiency.</w:t>
      </w:r>
    </w:p>
    <w:p>
      <w:pPr>
        <w:pStyle w:val="BodyText"/>
      </w:pPr>
      <w:r>
        <w:rPr>
          <w:b/>
        </w:rPr>
        <w:t xml:space="preserve">The four mandatory HITL criteria:</w:t>
      </w:r>
    </w:p>
    <w:tbl>
      <w:tblPr>
        <w:tblStyle w:val="TableGrid"/>
        <w:tblW w:type="pct" w:w="5000.0"/>
        <w:tblLook w:firstRow="1"/>
      </w:tblPr>
      <w:tblGrid>
        <w:gridCol w:w="913"/>
        <w:gridCol w:w="3350"/>
        <w:gridCol w:w="3655"/>
      </w:tblGrid>
      <w:tr>
        <w:trPr>
          <w:cnfStyle w:firstRow="1"/>
        </w:trPr>
        <w:tc>
          <w:tcPr>
            <w:tcBorders>
              <w:bottom w:val="single"/>
            </w:tcBorders>
            <w:vAlign w:val="bottom"/>
            <w:shd w:val="clear" w:color="auto" w:fill="1B3A6B"/>
          </w:tcPr>
          <w:p>
            <w:pPr>
              <w:pStyle w:val="Compact"/>
              <w:jc w:val="left"/>
            </w:pPr>
            <w:r>
              <w:rPr>
                <w:b/>
                <w:color w:val="FFFFFF"/>
              </w:rPr>
              <w:t xml:space="preserve">#</w:t>
            </w:r>
          </w:p>
        </w:tc>
        <w:tc>
          <w:tcPr>
            <w:tcBorders>
              <w:bottom w:val="single"/>
            </w:tcBorders>
            <w:vAlign w:val="bottom"/>
            <w:shd w:val="clear" w:color="auto" w:fill="1B3A6B"/>
          </w:tcPr>
          <w:p>
            <w:pPr>
              <w:pStyle w:val="Compact"/>
              <w:jc w:val="left"/>
            </w:pPr>
            <w:r>
              <w:rPr>
                <w:b/>
                <w:color w:val="FFFFFF"/>
              </w:rPr>
              <w:t xml:space="preserve">Criterion</w:t>
            </w:r>
          </w:p>
        </w:tc>
        <w:tc>
          <w:tcPr>
            <w:tcBorders>
              <w:bottom w:val="single"/>
            </w:tcBorders>
            <w:vAlign w:val="bottom"/>
            <w:shd w:val="clear" w:color="auto" w:fill="1B3A6B"/>
          </w:tcPr>
          <w:p>
            <w:pPr>
              <w:pStyle w:val="Compact"/>
              <w:jc w:val="left"/>
            </w:pPr>
            <w:r>
              <w:rPr>
                <w:b/>
                <w:color w:val="FFFFFF"/>
              </w:rPr>
              <w:t xml:space="preserve">Definition</w:t>
            </w:r>
          </w:p>
        </w:tc>
      </w:tr>
      <w:tr>
        <w:tc>
          <w:p>
            <w:pPr>
              <w:pStyle w:val="Compact"/>
              <w:jc w:val="left"/>
            </w:pPr>
            <w:r>
              <w:t xml:space="preserve">T1</w:t>
            </w:r>
          </w:p>
        </w:tc>
        <w:tc>
          <w:p>
            <w:pPr>
              <w:pStyle w:val="Compact"/>
              <w:jc w:val="left"/>
            </w:pPr>
            <w:r>
              <w:t xml:space="preserve">Legal or regulatory requirement</w:t>
            </w:r>
          </w:p>
        </w:tc>
        <w:tc>
          <w:p>
            <w:pPr>
              <w:pStyle w:val="Compact"/>
              <w:jc w:val="left"/>
            </w:pPr>
            <w:r>
              <w:t xml:space="preserve">A statute, regulation, or formal guidance requires a named human role to exercise approval or sign-off at this point</w:t>
            </w:r>
          </w:p>
        </w:tc>
      </w:tr>
      <w:tr>
        <w:tc>
          <w:p>
            <w:pPr>
              <w:pStyle w:val="Compact"/>
              <w:jc w:val="left"/>
            </w:pPr>
            <w:r>
              <w:t xml:space="preserve">T2</w:t>
            </w:r>
          </w:p>
        </w:tc>
        <w:tc>
          <w:p>
            <w:pPr>
              <w:pStyle w:val="Compact"/>
              <w:jc w:val="left"/>
            </w:pPr>
            <w:r>
              <w:t xml:space="preserve">Professional liability</w:t>
            </w:r>
          </w:p>
        </w:tc>
        <w:tc>
          <w:p>
            <w:pPr>
              <w:pStyle w:val="Compact"/>
              <w:jc w:val="left"/>
            </w:pPr>
            <w:r>
              <w:t xml:space="preserve">A professional duty holder (e.g. a registered engineer, licensed professional, qualified person) must exercise their professional judgement at this point and bears personal legal liability for the decision</w:t>
            </w:r>
          </w:p>
        </w:tc>
      </w:tr>
      <w:tr>
        <w:tc>
          <w:p>
            <w:pPr>
              <w:pStyle w:val="Compact"/>
              <w:jc w:val="left"/>
            </w:pPr>
            <w:r>
              <w:t xml:space="preserve">T3</w:t>
            </w:r>
          </w:p>
        </w:tc>
        <w:tc>
          <w:p>
            <w:pPr>
              <w:pStyle w:val="Compact"/>
              <w:jc w:val="left"/>
            </w:pPr>
            <w:r>
              <w:t xml:space="preserve">Novel situation</w:t>
            </w:r>
          </w:p>
        </w:tc>
        <w:tc>
          <w:p>
            <w:pPr>
              <w:pStyle w:val="Compact"/>
              <w:jc w:val="left"/>
            </w:pPr>
            <w:r>
              <w:t xml:space="preserve">The situation is sufficiently novel, ambiguous, or outside established parameters that no existing rule or model can handle it reliably — human judgement is required to interpret and decide</w:t>
            </w:r>
          </w:p>
        </w:tc>
      </w:tr>
      <w:tr>
        <w:tc>
          <w:p>
            <w:pPr>
              <w:pStyle w:val="Compact"/>
              <w:jc w:val="left"/>
            </w:pPr>
            <w:r>
              <w:t xml:space="preserve">T4</w:t>
            </w:r>
          </w:p>
        </w:tc>
        <w:tc>
          <w:p>
            <w:pPr>
              <w:pStyle w:val="Compact"/>
              <w:jc w:val="left"/>
            </w:pPr>
            <w:r>
              <w:t xml:space="preserve">Ethical judgement</w:t>
            </w:r>
          </w:p>
        </w:tc>
        <w:tc>
          <w:p>
            <w:pPr>
              <w:pStyle w:val="Compact"/>
              <w:jc w:val="left"/>
            </w:pPr>
            <w:r>
              <w:t xml:space="preserve">The decision involves ethical considerations, value trade-offs, or impacts on people that require human moral agency — these decisions cannot be delegated to an agent regardless of technical capability</w:t>
            </w:r>
          </w:p>
        </w:tc>
      </w:tr>
    </w:tbl>
    <w:p>
      <w:pPr>
        <w:pStyle w:val="BodyText"/>
      </w:pPr>
      <w:r>
        <w:t xml:space="preserve">At L2, HITL counts (the number of mandatory human decision gates per sub-process in each state) are estimates. L3 elaboration refines them to exact numbers per step. The consolidated HITL counts across all sub-processes feed into Artefact H (HITL Master Register).</w:t>
      </w:r>
    </w:p>
    <w:p>
      <w:pPr>
        <w:pStyle w:val="Heading3"/>
      </w:pPr>
      <w:bookmarkStart w:id="37" w:name="X51a6f82f519dd7b16cf3d1cfa270a62ad2b9a0b"/>
      <w:r>
        <w:t xml:space="preserve">4.4 The Three-Tier Agent Model: Foundation, Domain, Process</w:t>
      </w:r>
      <w:bookmarkEnd w:id="37"/>
    </w:p>
    <w:p>
      <w:pPr>
        <w:pStyle w:val="FirstParagraph"/>
      </w:pPr>
      <w:r>
        <w:t xml:space="preserve">Every agent in an AIF vertical belongs to one of three tiers. The classification is applied in order; stop at the first match.</w:t>
      </w:r>
    </w:p>
    <w:tbl>
      <w:tblPr>
        <w:tblStyle w:val="TableGrid"/>
        <w:tblW w:type="pct" w:w="5000.0"/>
        <w:tblLook w:firstRow="1"/>
      </w:tblPr>
      <w:tblGrid>
        <w:gridCol w:w="1284"/>
        <w:gridCol w:w="2568"/>
        <w:gridCol w:w="2996"/>
        <w:gridCol w:w="1070"/>
      </w:tblGrid>
      <w:tr>
        <w:trPr>
          <w:cnfStyle w:firstRow="1"/>
        </w:trPr>
        <w:tc>
          <w:tcPr>
            <w:tcBorders>
              <w:bottom w:val="single"/>
            </w:tcBorders>
            <w:vAlign w:val="bottom"/>
            <w:shd w:val="clear" w:color="auto" w:fill="1B3A6B"/>
          </w:tcPr>
          <w:p>
            <w:pPr>
              <w:pStyle w:val="Compact"/>
              <w:jc w:val="left"/>
            </w:pPr>
            <w:r>
              <w:rPr>
                <w:b/>
                <w:color w:val="FFFFFF"/>
              </w:rPr>
              <w:t xml:space="preserve">Tier</w:t>
            </w:r>
          </w:p>
        </w:tc>
        <w:tc>
          <w:tcPr>
            <w:tcBorders>
              <w:bottom w:val="single"/>
            </w:tcBorders>
            <w:vAlign w:val="bottom"/>
            <w:shd w:val="clear" w:color="auto" w:fill="1B3A6B"/>
          </w:tcPr>
          <w:p>
            <w:pPr>
              <w:pStyle w:val="Compact"/>
              <w:jc w:val="left"/>
            </w:pPr>
            <w:r>
              <w:rPr>
                <w:b/>
                <w:color w:val="FFFFFF"/>
              </w:rPr>
              <w:t xml:space="preserve">Definition</w:t>
            </w:r>
          </w:p>
        </w:tc>
        <w:tc>
          <w:tcPr>
            <w:tcBorders>
              <w:bottom w:val="single"/>
            </w:tcBorders>
            <w:vAlign w:val="bottom"/>
            <w:shd w:val="clear" w:color="auto" w:fill="1B3A6B"/>
          </w:tcPr>
          <w:p>
            <w:pPr>
              <w:pStyle w:val="Compact"/>
              <w:jc w:val="left"/>
            </w:pPr>
            <w:r>
              <w:rPr>
                <w:b/>
                <w:color w:val="FFFFFF"/>
              </w:rPr>
              <w:t xml:space="preserve">Visual colour</w:t>
            </w:r>
          </w:p>
        </w:tc>
        <w:tc>
          <w:tcPr>
            <w:tcBorders>
              <w:bottom w:val="single"/>
            </w:tcBorders>
            <w:vAlign w:val="bottom"/>
            <w:shd w:val="clear" w:color="auto" w:fill="1B3A6B"/>
          </w:tcPr>
          <w:p>
            <w:pPr>
              <w:pStyle w:val="Compact"/>
              <w:jc w:val="left"/>
            </w:pPr>
            <w:r>
              <w:rPr>
                <w:b/>
                <w:color w:val="FFFFFF"/>
              </w:rPr>
              <w:t xml:space="preserve">Hex</w:t>
            </w:r>
          </w:p>
        </w:tc>
      </w:tr>
      <w:tr>
        <w:tc>
          <w:p>
            <w:pPr>
              <w:pStyle w:val="Compact"/>
              <w:jc w:val="left"/>
            </w:pPr>
            <w:r>
              <w:rPr>
                <w:b/>
              </w:rPr>
              <w:t xml:space="preserve">Foundation</w:t>
            </w:r>
          </w:p>
        </w:tc>
        <w:tc>
          <w:p>
            <w:pPr>
              <w:pStyle w:val="Compact"/>
              <w:jc w:val="left"/>
            </w:pPr>
            <w:r>
              <w:t xml:space="preserve">Agents that provide cross-process foundational services other agents depend on, or that orchestrate, route, or gate the overall process</w:t>
            </w:r>
          </w:p>
        </w:tc>
        <w:tc>
          <w:p>
            <w:pPr>
              <w:pStyle w:val="Compact"/>
              <w:jc w:val="left"/>
            </w:pPr>
            <w:r>
              <w:t xml:space="preserve">Navy</w:t>
            </w:r>
          </w:p>
        </w:tc>
        <w:tc>
          <w:p>
            <w:pPr>
              <w:pStyle w:val="Compact"/>
              <w:jc w:val="left"/>
            </w:pPr>
            <w:r>
              <w:rPr>
                <w:rStyle w:val="VerbatimChar"/>
              </w:rPr>
              <w:t xml:space="preserve">#1B3A6B</w:t>
            </w:r>
          </w:p>
        </w:tc>
      </w:tr>
      <w:tr>
        <w:tc>
          <w:p>
            <w:pPr>
              <w:pStyle w:val="Compact"/>
              <w:jc w:val="left"/>
            </w:pPr>
            <w:r>
              <w:rPr>
                <w:b/>
              </w:rPr>
              <w:t xml:space="preserve">Domain</w:t>
            </w:r>
          </w:p>
        </w:tc>
        <w:tc>
          <w:p>
            <w:pPr>
              <w:pStyle w:val="Compact"/>
              <w:jc w:val="left"/>
            </w:pPr>
            <w:r>
              <w:t xml:space="preserve">Agents constituted by a recognised functional domain — they ARE the representative of that domain function in the process</w:t>
            </w:r>
          </w:p>
        </w:tc>
        <w:tc>
          <w:p>
            <w:pPr>
              <w:pStyle w:val="Compact"/>
              <w:jc w:val="left"/>
            </w:pPr>
            <w:r>
              <w:t xml:space="preserve">Medium blue</w:t>
            </w:r>
          </w:p>
        </w:tc>
        <w:tc>
          <w:p>
            <w:pPr>
              <w:pStyle w:val="Compact"/>
              <w:jc w:val="left"/>
            </w:pPr>
            <w:r>
              <w:rPr>
                <w:rStyle w:val="VerbatimChar"/>
              </w:rPr>
              <w:t xml:space="preserve">#2E75B6</w:t>
            </w:r>
          </w:p>
        </w:tc>
      </w:tr>
      <w:tr>
        <w:tc>
          <w:p>
            <w:pPr>
              <w:pStyle w:val="Compact"/>
              <w:jc w:val="left"/>
            </w:pPr>
            <w:r>
              <w:rPr>
                <w:b/>
              </w:rPr>
              <w:t xml:space="preserve">Process</w:t>
            </w:r>
          </w:p>
        </w:tc>
        <w:tc>
          <w:p>
            <w:pPr>
              <w:pStyle w:val="Compact"/>
              <w:jc w:val="left"/>
            </w:pPr>
            <w:r>
              <w:t xml:space="preserve">All other agents — they apply a professional technique or analytical method to process activities, supporting functions that exist independently</w:t>
            </w:r>
          </w:p>
        </w:tc>
        <w:tc>
          <w:p>
            <w:pPr>
              <w:pStyle w:val="Compact"/>
              <w:jc w:val="left"/>
            </w:pPr>
            <w:r>
              <w:t xml:space="preserve">Teal</w:t>
            </w:r>
          </w:p>
        </w:tc>
        <w:tc>
          <w:p>
            <w:pPr>
              <w:pStyle w:val="Compact"/>
              <w:jc w:val="left"/>
            </w:pPr>
            <w:r>
              <w:rPr>
                <w:rStyle w:val="VerbatimChar"/>
              </w:rPr>
              <w:t xml:space="preserve">#28A0A0</w:t>
            </w:r>
          </w:p>
        </w:tc>
      </w:tr>
    </w:tbl>
    <w:p>
      <w:pPr>
        <w:pStyle w:val="BodyText"/>
      </w:pPr>
      <w:r>
        <w:rPr>
          <w:b/>
        </w:rPr>
        <w:t xml:space="preserve">Classification decision rule (apply in order, stop at first match):</w:t>
      </w:r>
      <w:r>
        <w:t xml:space="preserve"> </w:t>
      </w:r>
      <w:r>
        <w:t xml:space="preserve">1. Does this agent provide services other agents depend on, OR orchestrate/route the macro process, OR manage gate readiness across the process? →</w:t>
      </w:r>
      <w:r>
        <w:t xml:space="preserve"> </w:t>
      </w:r>
      <w:r>
        <w:rPr>
          <w:b/>
        </w:rPr>
        <w:t xml:space="preserve">Foundation</w:t>
      </w:r>
      <w:r>
        <w:t xml:space="preserve"> </w:t>
      </w:r>
      <w:r>
        <w:t xml:space="preserve">2. Is this agent constituted by a recognised functional domain with its own organisational home and data domain? →</w:t>
      </w:r>
      <w:r>
        <w:t xml:space="preserve"> </w:t>
      </w:r>
      <w:r>
        <w:rPr>
          <w:b/>
        </w:rPr>
        <w:t xml:space="preserve">Domain</w:t>
      </w:r>
      <w:r>
        <w:t xml:space="preserve"> </w:t>
      </w:r>
      <w:r>
        <w:t xml:space="preserve">3. Everything else →</w:t>
      </w:r>
      <w:r>
        <w:t xml:space="preserve"> </w:t>
      </w:r>
      <w:r>
        <w:rPr>
          <w:b/>
        </w:rPr>
        <w:t xml:space="preserve">Process</w:t>
      </w:r>
    </w:p>
    <w:p>
      <w:pPr>
        <w:pStyle w:val="BodyText"/>
      </w:pPr>
      <w:r>
        <w:t xml:space="preserve">The likely bound is 1–3 Foundation agents per macro process, 2–5 Domain agents, and a variable number of Process agents.</w:t>
      </w:r>
    </w:p>
    <w:p>
      <w:pPr>
        <w:pStyle w:val="Heading3"/>
      </w:pPr>
      <w:bookmarkStart w:id="38" w:name="autonomy-levels"/>
      <w:r>
        <w:t xml:space="preserve">4.5 Autonomy Levels</w:t>
      </w:r>
      <w:bookmarkEnd w:id="38"/>
    </w:p>
    <w:p>
      <w:pPr>
        <w:pStyle w:val="FirstParagraph"/>
      </w:pPr>
      <w:r>
        <w:t xml:space="preserve">Agent capability is described on an autonomy scale from overlay (human submits data; agent processes) through advisory (agent provides recommendations; human decides) to autonomous (agent executes and decides within defined parameters). The three IS operating mode categories are:</w:t>
      </w:r>
    </w:p>
    <w:tbl>
      <w:tblPr>
        <w:tblStyle w:val="TableGrid"/>
        <w:tblW w:type="pct" w:w="5000.0"/>
        <w:tblLook w:firstRow="1"/>
      </w:tblPr>
      <w:tblGrid>
        <w:gridCol w:w="2501"/>
        <w:gridCol w:w="5418"/>
      </w:tblGrid>
      <w:tr>
        <w:trPr>
          <w:cnfStyle w:firstRow="1"/>
        </w:trPr>
        <w:tc>
          <w:tcPr>
            <w:tcBorders>
              <w:bottom w:val="single"/>
            </w:tcBorders>
            <w:vAlign w:val="bottom"/>
            <w:shd w:val="clear" w:color="auto" w:fill="1B3A6B"/>
          </w:tcPr>
          <w:p>
            <w:pPr>
              <w:pStyle w:val="Compact"/>
              <w:jc w:val="left"/>
            </w:pPr>
            <w:r>
              <w:rPr>
                <w:b/>
                <w:color w:val="FFFFFF"/>
              </w:rPr>
              <w:t xml:space="preserve">Mode</w:t>
            </w:r>
          </w:p>
        </w:tc>
        <w:tc>
          <w:tcPr>
            <w:tcBorders>
              <w:bottom w:val="single"/>
            </w:tcBorders>
            <w:vAlign w:val="bottom"/>
            <w:shd w:val="clear" w:color="auto" w:fill="1B3A6B"/>
          </w:tcPr>
          <w:p>
            <w:pPr>
              <w:pStyle w:val="Compact"/>
              <w:jc w:val="left"/>
            </w:pPr>
            <w:r>
              <w:rPr>
                <w:b/>
                <w:color w:val="FFFFFF"/>
              </w:rPr>
              <w:t xml:space="preserve">Description</w:t>
            </w:r>
          </w:p>
        </w:tc>
      </w:tr>
      <w:tr>
        <w:tc>
          <w:p>
            <w:pPr>
              <w:pStyle w:val="Compact"/>
              <w:jc w:val="left"/>
            </w:pPr>
            <w:r>
              <w:rPr>
                <w:b/>
              </w:rPr>
              <w:t xml:space="preserve">Primary actor</w:t>
            </w:r>
          </w:p>
        </w:tc>
        <w:tc>
          <w:p>
            <w:pPr>
              <w:pStyle w:val="Compact"/>
              <w:jc w:val="left"/>
            </w:pPr>
            <w:r>
              <w:t xml:space="preserve">Agent is the principal driver in IS — comparable in autonomy to TS, but with reduced data integration or capability</w:t>
            </w:r>
          </w:p>
        </w:tc>
      </w:tr>
      <w:tr>
        <w:tc>
          <w:p>
            <w:pPr>
              <w:pStyle w:val="Compact"/>
              <w:jc w:val="left"/>
            </w:pPr>
            <w:r>
              <w:rPr>
                <w:b/>
              </w:rPr>
              <w:t xml:space="preserve">Overlay (manually-triggered)</w:t>
            </w:r>
          </w:p>
        </w:tc>
        <w:tc>
          <w:p>
            <w:pPr>
              <w:pStyle w:val="Compact"/>
              <w:jc w:val="left"/>
            </w:pPr>
            <w:r>
              <w:t xml:space="preserve">Human is the primary actor; agent processes submitted data; IS activation trigger is human submission, not autonomous event</w:t>
            </w:r>
          </w:p>
        </w:tc>
      </w:tr>
      <w:tr>
        <w:tc>
          <w:p>
            <w:pPr>
              <w:pStyle w:val="Compact"/>
              <w:jc w:val="left"/>
            </w:pPr>
            <w:r>
              <w:rPr>
                <w:b/>
              </w:rPr>
              <w:t xml:space="preserve">Not deployed</w:t>
            </w:r>
          </w:p>
        </w:tc>
        <w:tc>
          <w:p>
            <w:pPr>
              <w:pStyle w:val="Compact"/>
              <w:jc w:val="left"/>
            </w:pPr>
            <w:r>
              <w:t xml:space="preserve">Agent has no IS presence at all; all functions performed by human actors</w:t>
            </w:r>
          </w:p>
        </w:tc>
      </w:tr>
    </w:tbl>
    <w:p>
      <w:pPr>
        <w:pStyle w:val="Heading3"/>
      </w:pPr>
      <w:bookmarkStart w:id="39" w:name="the-ima-gateway-pattern"/>
      <w:r>
        <w:t xml:space="preserve">4.6 The IMA Gateway Pattern</w:t>
      </w:r>
      <w:bookmarkEnd w:id="39"/>
    </w:p>
    <w:p>
      <w:pPr>
        <w:pStyle w:val="FirstParagraph"/>
      </w:pPr>
      <w:r>
        <w:t xml:space="preserve">The Information Management Agent (IMA) is the canonical Foundation agent pattern in capital delivery and analogous information-intensive verticals. It provides cross-process information state tracking, data quality assurance, and gate readiness compilation. Other agents depend on IMA for data they cannot reliably source autonomously. The IMA is deployed in both IS and TS; its operating mode shifts from overlay (manually-triggered) to fully autonomous as the framework matures.</w:t>
      </w:r>
    </w:p>
    <w:p>
      <w:pPr>
        <w:pStyle w:val="BodyText"/>
      </w:pPr>
      <w:r>
        <w:t xml:space="preserve">This pattern — a Foundation agent that manages shared information state and gate readiness — recurs across AIF verticals. When designing a new vertical, identify whether an IMA-equivalent is needed before designing Domain and Process agents.</w:t>
      </w:r>
    </w:p>
    <w:p>
      <w:r>
        <w:pict>
          <v:rect style="width:0;height:1.5pt" o:hralign="center" o:hrstd="t" o:hr="t"/>
        </w:pict>
      </w:r>
    </w:p>
    <w:p>
      <w:pPr>
        <w:pStyle w:val="Heading2"/>
      </w:pPr>
      <w:bookmarkStart w:id="40" w:name="aif-lifecycle-overview"/>
      <w:r>
        <w:t xml:space="preserve">5. AIF Lifecycle Overview</w:t>
      </w:r>
      <w:bookmarkEnd w:id="40"/>
    </w:p>
    <w:p>
      <w:pPr>
        <w:pStyle w:val="FirstParagraph"/>
      </w:pPr>
      <w:r>
        <w:t xml:space="preserve">Every AIF vertical follows the same 16-stage lifecycle, from initial framework setup through to the Framework Complete gate. The stages are defined in full in the AIF Practitioner Playbook; this section provides the overview.</w:t>
      </w:r>
    </w:p>
    <w:tbl>
      <w:tblPr>
        <w:tblStyle w:val="TableGrid"/>
        <w:tblW w:type="pct" w:w="5000.0"/>
        <w:tblLook w:firstRow="1"/>
      </w:tblPr>
      <w:tblGrid>
        <w:gridCol w:w="1421"/>
        <w:gridCol w:w="1218"/>
        <w:gridCol w:w="1827"/>
        <w:gridCol w:w="2233"/>
        <w:gridCol w:w="1218"/>
      </w:tblGrid>
      <w:tr>
        <w:trPr>
          <w:cnfStyle w:firstRow="1"/>
        </w:trPr>
        <w:tc>
          <w:tcPr>
            <w:tcBorders>
              <w:bottom w:val="single"/>
            </w:tcBorders>
            <w:vAlign w:val="bottom"/>
            <w:shd w:val="clear" w:color="auto" w:fill="1B3A6B"/>
          </w:tcPr>
          <w:p>
            <w:pPr>
              <w:pStyle w:val="Compact"/>
              <w:jc w:val="left"/>
            </w:pPr>
            <w:r>
              <w:rPr>
                <w:b/>
                <w:color w:val="FFFFFF"/>
              </w:rPr>
              <w:t xml:space="preserve">Stage</w:t>
            </w:r>
          </w:p>
        </w:tc>
        <w:tc>
          <w:tcPr>
            <w:tcBorders>
              <w:bottom w:val="single"/>
            </w:tcBorders>
            <w:vAlign w:val="bottom"/>
            <w:shd w:val="clear" w:color="auto" w:fill="1B3A6B"/>
          </w:tcPr>
          <w:p>
            <w:pPr>
              <w:pStyle w:val="Compact"/>
              <w:jc w:val="left"/>
            </w:pPr>
            <w:r>
              <w:rPr>
                <w:b/>
                <w:color w:val="FFFFFF"/>
              </w:rPr>
              <w:t xml:space="preserve">Name</w:t>
            </w:r>
          </w:p>
        </w:tc>
        <w:tc>
          <w:tcPr>
            <w:tcBorders>
              <w:bottom w:val="single"/>
            </w:tcBorders>
            <w:vAlign w:val="bottom"/>
            <w:shd w:val="clear" w:color="auto" w:fill="1B3A6B"/>
          </w:tcPr>
          <w:p>
            <w:pPr>
              <w:pStyle w:val="Compact"/>
              <w:jc w:val="left"/>
            </w:pPr>
            <w:r>
              <w:rPr>
                <w:b/>
                <w:color w:val="FFFFFF"/>
              </w:rPr>
              <w:t xml:space="preserve">Purpose</w:t>
            </w:r>
          </w:p>
        </w:tc>
        <w:tc>
          <w:tcPr>
            <w:tcBorders>
              <w:bottom w:val="single"/>
            </w:tcBorders>
            <w:vAlign w:val="bottom"/>
            <w:shd w:val="clear" w:color="auto" w:fill="1B3A6B"/>
          </w:tcPr>
          <w:p>
            <w:pPr>
              <w:pStyle w:val="Compact"/>
              <w:jc w:val="left"/>
            </w:pPr>
            <w:r>
              <w:rPr>
                <w:b/>
                <w:color w:val="FFFFFF"/>
              </w:rPr>
              <w:t xml:space="preserve">Key Output</w:t>
            </w:r>
          </w:p>
        </w:tc>
        <w:tc>
          <w:tcPr>
            <w:tcBorders>
              <w:bottom w:val="single"/>
            </w:tcBorders>
            <w:vAlign w:val="bottom"/>
            <w:shd w:val="clear" w:color="auto" w:fill="1B3A6B"/>
          </w:tcPr>
          <w:p>
            <w:pPr>
              <w:pStyle w:val="Compact"/>
              <w:jc w:val="left"/>
            </w:pPr>
            <w:r>
              <w:rPr>
                <w:b/>
                <w:color w:val="FFFFFF"/>
              </w:rPr>
              <w:t xml:space="preserve">Gate</w:t>
            </w:r>
          </w:p>
        </w:tc>
      </w:tr>
      <w:tr>
        <w:tc>
          <w:p>
            <w:pPr>
              <w:pStyle w:val="Compact"/>
              <w:jc w:val="left"/>
            </w:pPr>
            <w:r>
              <w:t xml:space="preserve">0</w:t>
            </w:r>
          </w:p>
        </w:tc>
        <w:tc>
          <w:p>
            <w:pPr>
              <w:pStyle w:val="Compact"/>
              <w:jc w:val="left"/>
            </w:pPr>
            <w:r>
              <w:t xml:space="preserve">Framework Setup</w:t>
            </w:r>
          </w:p>
        </w:tc>
        <w:tc>
          <w:p>
            <w:pPr>
              <w:pStyle w:val="Compact"/>
              <w:jc w:val="left"/>
            </w:pPr>
            <w:r>
              <w:t xml:space="preserve">Scaffold folder structure, CLAUDE.md, ProjectStatus.md</w:t>
            </w:r>
          </w:p>
        </w:tc>
        <w:tc>
          <w:p>
            <w:pPr>
              <w:pStyle w:val="Compact"/>
              <w:jc w:val="left"/>
            </w:pPr>
            <w:r>
              <w:t xml:space="preserve">Framework folder structure</w:t>
            </w:r>
          </w:p>
        </w:tc>
        <w:tc>
          <w:p>
            <w:pPr>
              <w:pStyle w:val="Compact"/>
              <w:jc w:val="left"/>
            </w:pPr>
            <w:r>
              <w:t xml:space="preserve">Facilitator confirms Framework Variables complete</w:t>
            </w:r>
          </w:p>
        </w:tc>
      </w:tr>
      <w:tr>
        <w:tc>
          <w:p>
            <w:pPr>
              <w:pStyle w:val="Compact"/>
              <w:jc w:val="left"/>
            </w:pPr>
            <w:r>
              <w:t xml:space="preserve">1</w:t>
            </w:r>
          </w:p>
        </w:tc>
        <w:tc>
          <w:p>
            <w:pPr>
              <w:pStyle w:val="Compact"/>
              <w:jc w:val="left"/>
            </w:pPr>
            <w:r>
              <w:t xml:space="preserve">L1 Pre-Work</w:t>
            </w:r>
          </w:p>
        </w:tc>
        <w:tc>
          <w:p>
            <w:pPr>
              <w:pStyle w:val="Compact"/>
              <w:jc w:val="left"/>
            </w:pPr>
            <w:r>
              <w:t xml:space="preserve">Six agents produce seven workshop deliverables</w:t>
            </w:r>
          </w:p>
        </w:tc>
        <w:tc>
          <w:p>
            <w:pPr>
              <w:pStyle w:val="Compact"/>
              <w:jc w:val="left"/>
            </w:pPr>
            <w:r>
              <w:t xml:space="preserve">7 pre-work deliverables</w:t>
            </w:r>
          </w:p>
        </w:tc>
        <w:tc>
          <w:p>
            <w:pPr>
              <w:pStyle w:val="Compact"/>
              <w:jc w:val="left"/>
            </w:pPr>
            <w:r>
              <w:t xml:space="preserve">Facilitator review: all deliverables approved</w:t>
            </w:r>
          </w:p>
        </w:tc>
      </w:tr>
      <w:tr>
        <w:tc>
          <w:p>
            <w:pPr>
              <w:pStyle w:val="Compact"/>
              <w:jc w:val="left"/>
            </w:pPr>
            <w:r>
              <w:t xml:space="preserve">2</w:t>
            </w:r>
          </w:p>
        </w:tc>
        <w:tc>
          <w:p>
            <w:pPr>
              <w:pStyle w:val="Compact"/>
              <w:jc w:val="left"/>
            </w:pPr>
            <w:r>
              <w:t xml:space="preserve">Workshop Readiness Gate</w:t>
            </w:r>
          </w:p>
        </w:tc>
        <w:tc>
          <w:p>
            <w:pPr>
              <w:pStyle w:val="Compact"/>
              <w:jc w:val="left"/>
            </w:pPr>
            <w:r>
              <w:t xml:space="preserve">10-item checklist before workshop proceeds</w:t>
            </w:r>
          </w:p>
        </w:tc>
        <w:tc>
          <w:p>
            <w:pPr>
              <w:pStyle w:val="Compact"/>
              <w:jc w:val="left"/>
            </w:pPr>
            <w:r>
              <w:t xml:space="preserve">Signed-off readiness checklist</w:t>
            </w:r>
          </w:p>
        </w:tc>
        <w:tc>
          <w:p>
            <w:pPr>
              <w:pStyle w:val="Compact"/>
              <w:jc w:val="left"/>
            </w:pPr>
            <w:r>
              <w:t xml:space="preserve">All 10 items satisfied</w:t>
            </w:r>
          </w:p>
        </w:tc>
      </w:tr>
      <w:tr>
        <w:tc>
          <w:p>
            <w:pPr>
              <w:pStyle w:val="Compact"/>
              <w:jc w:val="left"/>
            </w:pPr>
            <w:r>
              <w:t xml:space="preserve">3</w:t>
            </w:r>
          </w:p>
        </w:tc>
        <w:tc>
          <w:p>
            <w:pPr>
              <w:pStyle w:val="Compact"/>
              <w:jc w:val="left"/>
            </w:pPr>
            <w:r>
              <w:t xml:space="preserve">L1 Workshop</w:t>
            </w:r>
          </w:p>
        </w:tc>
        <w:tc>
          <w:p>
            <w:pPr>
              <w:pStyle w:val="Compact"/>
              <w:jc w:val="left"/>
            </w:pPr>
            <w:r>
              <w:t xml:space="preserve">Make five foundational decisions with domain experts</w:t>
            </w:r>
          </w:p>
        </w:tc>
        <w:tc>
          <w:p>
            <w:pPr>
              <w:pStyle w:val="Compact"/>
              <w:jc w:val="left"/>
            </w:pPr>
            <w:r>
              <w:t xml:space="preserve">L1_Decisions_Log.md</w:t>
            </w:r>
          </w:p>
        </w:tc>
        <w:tc>
          <w:p>
            <w:pPr>
              <w:pStyle w:val="Compact"/>
              <w:jc w:val="left"/>
            </w:pPr>
            <w:r>
              <w:t xml:space="preserve">All decisions captured; open items logged</w:t>
            </w:r>
          </w:p>
        </w:tc>
      </w:tr>
      <w:tr>
        <w:tc>
          <w:p>
            <w:pPr>
              <w:pStyle w:val="Compact"/>
              <w:jc w:val="left"/>
            </w:pPr>
            <w:r>
              <w:t xml:space="preserve">4</w:t>
            </w:r>
          </w:p>
        </w:tc>
        <w:tc>
          <w:p>
            <w:pPr>
              <w:pStyle w:val="Compact"/>
              <w:jc w:val="left"/>
            </w:pPr>
            <w:r>
              <w:t xml:space="preserve">Post-Workshop and L2 Handoff</w:t>
            </w:r>
          </w:p>
        </w:tc>
        <w:tc>
          <w:p>
            <w:pPr>
              <w:pStyle w:val="Compact"/>
              <w:jc w:val="left"/>
            </w:pPr>
            <w:r>
              <w:t xml:space="preserve">Finalise decisions log; package outputs</w:t>
            </w:r>
          </w:p>
        </w:tc>
        <w:tc>
          <w:p>
            <w:pPr>
              <w:pStyle w:val="Compact"/>
              <w:jc w:val="left"/>
            </w:pPr>
            <w:r>
              <w:t xml:space="preserve">Final decisions log; L1 Summary Deck</w:t>
            </w:r>
          </w:p>
        </w:tc>
        <w:tc>
          <w:p>
            <w:pPr>
              <w:pStyle w:val="Compact"/>
              <w:jc w:val="left"/>
            </w:pPr>
            <w:r>
              <w:t xml:space="preserve">Decisions log finalised; no open items</w:t>
            </w:r>
          </w:p>
        </w:tc>
      </w:tr>
      <w:tr>
        <w:tc>
          <w:p>
            <w:pPr>
              <w:pStyle w:val="Compact"/>
              <w:jc w:val="left"/>
            </w:pPr>
            <w:r>
              <w:t xml:space="preserve">5</w:t>
            </w:r>
          </w:p>
        </w:tc>
        <w:tc>
          <w:p>
            <w:pPr>
              <w:pStyle w:val="Compact"/>
              <w:jc w:val="left"/>
            </w:pPr>
            <w:r>
              <w:t xml:space="preserve">L2 Design (per macro process)</w:t>
            </w:r>
          </w:p>
        </w:tc>
        <w:tc>
          <w:p>
            <w:pPr>
              <w:pStyle w:val="Compact"/>
              <w:jc w:val="left"/>
            </w:pPr>
            <w:r>
              <w:t xml:space="preserve">Sub-process architecture with SIPOC and agent/human roles</w:t>
            </w:r>
          </w:p>
        </w:tc>
        <w:tc>
          <w:p>
            <w:pPr>
              <w:pStyle w:val="Compact"/>
              <w:jc w:val="left"/>
            </w:pPr>
            <w:r>
              <w:t xml:space="preserve">L2 document + validated PPTX</w:t>
            </w:r>
          </w:p>
        </w:tc>
        <w:tc>
          <w:p>
            <w:pPr>
              <w:pStyle w:val="Compact"/>
              <w:jc w:val="left"/>
            </w:pPr>
            <w:r>
              <w:t xml:space="preserve">3-step pipeline gate</w:t>
            </w:r>
          </w:p>
        </w:tc>
      </w:tr>
      <w:tr>
        <w:tc>
          <w:p>
            <w:pPr>
              <w:pStyle w:val="Compact"/>
              <w:jc w:val="left"/>
            </w:pPr>
            <w:r>
              <w:t xml:space="preserve">6</w:t>
            </w:r>
          </w:p>
        </w:tc>
        <w:tc>
          <w:p>
            <w:pPr>
              <w:pStyle w:val="Compact"/>
              <w:jc w:val="left"/>
            </w:pPr>
            <w:r>
              <w:t xml:space="preserve">L2 Review and Approval</w:t>
            </w:r>
          </w:p>
        </w:tc>
        <w:tc>
          <w:p>
            <w:pPr>
              <w:pStyle w:val="Compact"/>
              <w:jc w:val="left"/>
            </w:pPr>
            <w:r>
              <w:t xml:space="preserve">Stakeholder validation of AI-generated L2 draft</w:t>
            </w:r>
          </w:p>
        </w:tc>
        <w:tc>
          <w:p>
            <w:pPr>
              <w:pStyle w:val="Compact"/>
              <w:jc w:val="left"/>
            </w:pPr>
            <w:r>
              <w:t xml:space="preserve">Approved L2 document (version incremented)</w:t>
            </w:r>
          </w:p>
        </w:tc>
        <w:tc>
          <w:p>
            <w:pPr>
              <w:pStyle w:val="Compact"/>
              <w:jc w:val="left"/>
            </w:pPr>
            <w:r>
              <w:t xml:space="preserve">All corrections incorporated</w:t>
            </w:r>
          </w:p>
        </w:tc>
      </w:tr>
      <w:tr>
        <w:tc>
          <w:p>
            <w:pPr>
              <w:pStyle w:val="Compact"/>
              <w:jc w:val="left"/>
            </w:pPr>
            <w:r>
              <w:t xml:space="preserve">7</w:t>
            </w:r>
          </w:p>
        </w:tc>
        <w:tc>
          <w:p>
            <w:pPr>
              <w:pStyle w:val="Compact"/>
              <w:jc w:val="left"/>
            </w:pPr>
            <w:r>
              <w:t xml:space="preserve">L3 Design (per sub-process)</w:t>
            </w:r>
          </w:p>
        </w:tc>
        <w:tc>
          <w:p>
            <w:pPr>
              <w:pStyle w:val="Compact"/>
              <w:jc w:val="left"/>
            </w:pPr>
            <w:r>
              <w:t xml:space="preserve">Step-level design, swimlanes, system prompts</w:t>
            </w:r>
          </w:p>
        </w:tc>
        <w:tc>
          <w:p>
            <w:pPr>
              <w:pStyle w:val="Compact"/>
              <w:jc w:val="left"/>
            </w:pPr>
            <w:r>
              <w:t xml:space="preserve">6 files per sub-process</w:t>
            </w:r>
          </w:p>
        </w:tc>
        <w:tc>
          <w:p>
            <w:pPr>
              <w:pStyle w:val="Compact"/>
              <w:jc w:val="left"/>
            </w:pPr>
            <w:r>
              <w:t xml:space="preserve">HTML and PPTX validators pass</w:t>
            </w:r>
          </w:p>
        </w:tc>
      </w:tr>
      <w:tr>
        <w:tc>
          <w:p>
            <w:pPr>
              <w:pStyle w:val="Compact"/>
              <w:jc w:val="left"/>
            </w:pPr>
            <w:r>
              <w:t xml:space="preserve">8</w:t>
            </w:r>
          </w:p>
        </w:tc>
        <w:tc>
          <w:p>
            <w:pPr>
              <w:pStyle w:val="Compact"/>
              <w:jc w:val="left"/>
            </w:pPr>
            <w:r>
              <w:t xml:space="preserve">Post-L3 Agent Architecture</w:t>
            </w:r>
          </w:p>
        </w:tc>
        <w:tc>
          <w:p>
            <w:pPr>
              <w:pStyle w:val="Compact"/>
              <w:jc w:val="left"/>
            </w:pPr>
            <w:r>
              <w:t xml:space="preserve">Artefacts A–H — cross-sub-process synthesis</w:t>
            </w:r>
          </w:p>
        </w:tc>
        <w:tc>
          <w:p>
            <w:pPr>
              <w:pStyle w:val="Compact"/>
              <w:jc w:val="left"/>
            </w:pPr>
            <w:r>
              <w:t xml:space="preserve">8 architecture artefacts</w:t>
            </w:r>
          </w:p>
        </w:tc>
        <w:tc>
          <w:p>
            <w:pPr>
              <w:pStyle w:val="Compact"/>
              <w:jc w:val="left"/>
            </w:pPr>
            <w:r>
              <w:t xml:space="preserve">Interaction diagram validator passes (V01–V23)</w:t>
            </w:r>
          </w:p>
        </w:tc>
      </w:tr>
      <w:tr>
        <w:tc>
          <w:p>
            <w:pPr>
              <w:pStyle w:val="Compact"/>
              <w:jc w:val="left"/>
            </w:pPr>
            <w:r>
              <w:t xml:space="preserve">9</w:t>
            </w:r>
          </w:p>
        </w:tc>
        <w:tc>
          <w:p>
            <w:pPr>
              <w:pStyle w:val="Compact"/>
              <w:jc w:val="left"/>
            </w:pPr>
            <w:r>
              <w:t xml:space="preserve">L2 Consistency Review</w:t>
            </w:r>
          </w:p>
        </w:tc>
        <w:tc>
          <w:p>
            <w:pPr>
              <w:pStyle w:val="Compact"/>
              <w:jc w:val="left"/>
            </w:pPr>
            <w:r>
              <w:t xml:space="preserve">Reconcile L2 with post-L3 findings</w:t>
            </w:r>
          </w:p>
        </w:tc>
        <w:tc>
          <w:p>
            <w:pPr>
              <w:pStyle w:val="Compact"/>
              <w:jc w:val="left"/>
            </w:pPr>
            <w:r>
              <w:t xml:space="preserve">Updated L2 document + regenerated PPTX</w:t>
            </w:r>
          </w:p>
        </w:tc>
        <w:tc>
          <w:p>
            <w:pPr>
              <w:pStyle w:val="Compact"/>
              <w:jc w:val="left"/>
            </w:pPr>
            <w:r>
              <w:t xml:space="preserve">L2 reflects all post-L3 changes</w:t>
            </w:r>
          </w:p>
        </w:tc>
      </w:tr>
      <w:tr>
        <w:tc>
          <w:p>
            <w:pPr>
              <w:pStyle w:val="Compact"/>
              <w:jc w:val="left"/>
            </w:pPr>
            <w:r>
              <w:t xml:space="preserve">10</w:t>
            </w:r>
          </w:p>
        </w:tc>
        <w:tc>
          <w:p>
            <w:pPr>
              <w:pStyle w:val="Compact"/>
              <w:jc w:val="left"/>
            </w:pPr>
            <w:r>
              <w:t xml:space="preserve">Cross-Framework Synthesis</w:t>
            </w:r>
          </w:p>
        </w:tc>
        <w:tc>
          <w:p>
            <w:pPr>
              <w:pStyle w:val="Compact"/>
              <w:jc w:val="left"/>
            </w:pPr>
            <w:r>
              <w:t xml:space="preserve">Update FAR; normalise agent taxonomy</w:t>
            </w:r>
          </w:p>
        </w:tc>
        <w:tc>
          <w:p>
            <w:pPr>
              <w:pStyle w:val="Compact"/>
              <w:jc w:val="left"/>
            </w:pPr>
            <w:r>
              <w:t xml:space="preserve">Updated FAR; updated L1 Architecture Overview</w:t>
            </w:r>
          </w:p>
        </w:tc>
        <w:tc>
          <w:p>
            <w:pPr>
              <w:pStyle w:val="Compact"/>
              <w:jc w:val="left"/>
            </w:pPr>
            <w:r>
              <w:t xml:space="preserve">FAR updated; cross-process consistency confirmed</w:t>
            </w:r>
          </w:p>
        </w:tc>
      </w:tr>
      <w:tr>
        <w:tc>
          <w:p>
            <w:pPr>
              <w:pStyle w:val="Compact"/>
              <w:jc w:val="left"/>
            </w:pPr>
            <w:r>
              <w:t xml:space="preserve">11</w:t>
            </w:r>
          </w:p>
        </w:tc>
        <w:tc>
          <w:p>
            <w:pPr>
              <w:pStyle w:val="Compact"/>
              <w:jc w:val="left"/>
            </w:pPr>
            <w:r>
              <w:t xml:space="preserve">Key Outputs</w:t>
            </w:r>
          </w:p>
        </w:tc>
        <w:tc>
          <w:p>
            <w:pPr>
              <w:pStyle w:val="Compact"/>
              <w:jc w:val="left"/>
            </w:pPr>
            <w:r>
              <w:t xml:space="preserve">Process Hierarchy, Infographic, Explorer</w:t>
            </w:r>
          </w:p>
        </w:tc>
        <w:tc>
          <w:p>
            <w:pPr>
              <w:pStyle w:val="Compact"/>
              <w:jc w:val="left"/>
            </w:pPr>
            <w:r>
              <w:t xml:space="preserve">HTML + PPTX + PDF deliverables</w:t>
            </w:r>
          </w:p>
        </w:tc>
        <w:tc>
          <w:p>
            <w:pPr>
              <w:pStyle w:val="Compact"/>
              <w:jc w:val="left"/>
            </w:pPr>
            <w:r>
              <w:t xml:space="preserve">Explorer and Infographic validators pass</w:t>
            </w:r>
          </w:p>
        </w:tc>
      </w:tr>
      <w:tr>
        <w:tc>
          <w:p>
            <w:pPr>
              <w:pStyle w:val="Compact"/>
              <w:jc w:val="left"/>
            </w:pPr>
            <w:r>
              <w:t xml:space="preserve">12</w:t>
            </w:r>
          </w:p>
        </w:tc>
        <w:tc>
          <w:p>
            <w:pPr>
              <w:pStyle w:val="Compact"/>
              <w:jc w:val="left"/>
            </w:pPr>
            <w:r>
              <w:t xml:space="preserve">RAISE Configuration</w:t>
            </w:r>
          </w:p>
        </w:tc>
        <w:tc>
          <w:p>
            <w:pPr>
              <w:pStyle w:val="Compact"/>
              <w:jc w:val="left"/>
            </w:pPr>
            <w:r>
              <w:t xml:space="preserve">RAISE platform configuration document</w:t>
            </w:r>
          </w:p>
        </w:tc>
        <w:tc>
          <w:p>
            <w:pPr>
              <w:pStyle w:val="Compact"/>
              <w:jc w:val="left"/>
            </w:pPr>
            <w:r>
              <w:t xml:space="preserve">RAISE DOCX</w:t>
            </w:r>
          </w:p>
        </w:tc>
        <w:tc>
          <w:p>
            <w:pPr>
              <w:pStyle w:val="Compact"/>
              <w:jc w:val="left"/>
            </w:pPr>
            <w:r>
              <w:t xml:space="preserve">JSON and DOCX validators pass</w:t>
            </w:r>
          </w:p>
        </w:tc>
      </w:tr>
      <w:tr>
        <w:tc>
          <w:p>
            <w:pPr>
              <w:pStyle w:val="Compact"/>
              <w:jc w:val="left"/>
            </w:pPr>
            <w:r>
              <w:t xml:space="preserve">13</w:t>
            </w:r>
          </w:p>
        </w:tc>
        <w:tc>
          <w:p>
            <w:pPr>
              <w:pStyle w:val="Compact"/>
              <w:jc w:val="left"/>
            </w:pPr>
            <w:r>
              <w:t xml:space="preserve">Control Plane Architecture</w:t>
            </w:r>
          </w:p>
        </w:tc>
        <w:tc>
          <w:p>
            <w:pPr>
              <w:pStyle w:val="Compact"/>
              <w:jc w:val="left"/>
            </w:pPr>
            <w:r>
              <w:t xml:space="preserve">Five-layer operational architecture document</w:t>
            </w:r>
          </w:p>
        </w:tc>
        <w:tc>
          <w:p>
            <w:pPr>
              <w:pStyle w:val="Compact"/>
              <w:jc w:val="left"/>
            </w:pPr>
            <w:r>
              <w:t xml:space="preserve">[FRAMEWORK_ID]_ControlPlane_Architecture.md</w:t>
            </w:r>
          </w:p>
        </w:tc>
        <w:tc>
          <w:p>
            <w:pPr>
              <w:pStyle w:val="Compact"/>
              <w:jc w:val="left"/>
            </w:pPr>
            <w:r>
              <w:t xml:space="preserve">Five layers specified; output confirmed</w:t>
            </w:r>
          </w:p>
        </w:tc>
      </w:tr>
      <w:tr>
        <w:tc>
          <w:p>
            <w:pPr>
              <w:pStyle w:val="Compact"/>
              <w:jc w:val="left"/>
            </w:pPr>
            <w:r>
              <w:t xml:space="preserve">14</w:t>
            </w:r>
          </w:p>
        </w:tc>
        <w:tc>
          <w:p>
            <w:pPr>
              <w:pStyle w:val="Compact"/>
              <w:jc w:val="left"/>
            </w:pPr>
            <w:r>
              <w:t xml:space="preserve">End-to-End Review</w:t>
            </w:r>
          </w:p>
        </w:tc>
        <w:tc>
          <w:p>
            <w:pPr>
              <w:pStyle w:val="Compact"/>
              <w:jc w:val="left"/>
            </w:pPr>
            <w:r>
              <w:t xml:space="preserve">Cross-cutting stakeholder review</w:t>
            </w:r>
          </w:p>
        </w:tc>
        <w:tc>
          <w:p>
            <w:pPr>
              <w:pStyle w:val="Compact"/>
              <w:jc w:val="left"/>
            </w:pPr>
            <w:r>
              <w:t xml:space="preserve">Corrections log; sponsor sign-off</w:t>
            </w:r>
          </w:p>
        </w:tc>
        <w:tc>
          <w:p>
            <w:pPr>
              <w:pStyle w:val="Compact"/>
              <w:jc w:val="left"/>
            </w:pPr>
            <w:r>
              <w:t xml:space="preserve">All corrections applied</w:t>
            </w:r>
          </w:p>
        </w:tc>
      </w:tr>
      <w:tr>
        <w:tc>
          <w:p>
            <w:pPr>
              <w:pStyle w:val="Compact"/>
              <w:jc w:val="left"/>
            </w:pPr>
            <w:r>
              <w:t xml:space="preserve">15</w:t>
            </w:r>
          </w:p>
        </w:tc>
        <w:tc>
          <w:p>
            <w:pPr>
              <w:pStyle w:val="Compact"/>
              <w:jc w:val="left"/>
            </w:pPr>
            <w:r>
              <w:t xml:space="preserve">Framework Complete Gate</w:t>
            </w:r>
          </w:p>
        </w:tc>
        <w:tc>
          <w:p>
            <w:pPr>
              <w:pStyle w:val="Compact"/>
              <w:jc w:val="left"/>
            </w:pPr>
            <w:r>
              <w:t xml:space="preserve">Final confirmation; ProjectStatus.md update</w:t>
            </w:r>
          </w:p>
        </w:tc>
        <w:tc>
          <w:p>
            <w:pPr>
              <w:pStyle w:val="Compact"/>
              <w:jc w:val="left"/>
            </w:pPr>
            <w:r>
              <w:t xml:space="preserve">Updated ProjectStatus.md</w:t>
            </w:r>
          </w:p>
        </w:tc>
        <w:tc>
          <w:p>
            <w:pPr>
              <w:pStyle w:val="Compact"/>
              <w:jc w:val="left"/>
            </w:pPr>
            <w:r>
              <w:t xml:space="preserve">All criteria satisfied</w:t>
            </w:r>
          </w:p>
        </w:tc>
      </w:tr>
    </w:tbl>
    <w:p>
      <w:r>
        <w:pict>
          <v:rect style="width:0;height:1.5pt" o:hralign="center" o:hrstd="t" o:hr="t"/>
        </w:pict>
      </w:r>
    </w:p>
    <w:p>
      <w:pPr>
        <w:pStyle w:val="Heading2"/>
      </w:pPr>
      <w:bookmarkStart w:id="41" w:name="tooling-map"/>
      <w:r>
        <w:t xml:space="preserve">6. Tooling Map</w:t>
      </w:r>
      <w:bookmarkEnd w:id="41"/>
    </w:p>
    <w:p>
      <w:pPr>
        <w:pStyle w:val="FirstParagraph"/>
      </w:pPr>
      <w:r>
        <w:t xml:space="preserve">All shared tooling lives in</w:t>
      </w:r>
      <w:r>
        <w:t xml:space="preserve"> </w:t>
      </w:r>
      <w:r>
        <w:rPr>
          <w:rStyle w:val="VerbatimChar"/>
        </w:rPr>
        <w:t xml:space="preserve">Prompts/</w:t>
      </w:r>
      <w:r>
        <w:t xml:space="preserve"> </w:t>
      </w:r>
      <w:r>
        <w:t xml:space="preserve">at</w:t>
      </w:r>
      <w:r>
        <w:t xml:space="preserve"> </w:t>
      </w:r>
      <w:r>
        <w:rPr>
          <w:rStyle w:val="VerbatimChar"/>
        </w:rPr>
        <w:t xml:space="preserve">ENGINE_ROOT</w:t>
      </w:r>
      <w:r>
        <w:t xml:space="preserve"> </w:t>
      </w:r>
      <w:r>
        <w:t xml:space="preserve">(the AIF Engine folder — STD-37; not a</w:t>
      </w:r>
      <w:r>
        <w:t xml:space="preserve"> </w:t>
      </w:r>
      <w:r>
        <w:t xml:space="preserve">“</w:t>
      </w:r>
      <w:r>
        <w:t xml:space="preserve">workspace root</w:t>
      </w:r>
      <w:r>
        <w:t xml:space="preserve">”</w:t>
      </w:r>
      <w:r>
        <w:t xml:space="preserve"> </w:t>
      </w:r>
      <w:r>
        <w:t xml:space="preserve">shared with any framework, since the Engine and every framework are now independent paths), organised by level. Version numbers are from the changelogs at the time this document was originally written (2026/06/12).</w:t>
      </w:r>
    </w:p>
    <w:p>
      <w:pPr>
        <w:pStyle w:val="Heading3"/>
      </w:pPr>
      <w:bookmarkStart w:id="42" w:name="l1-tooling-promptsl1"/>
      <w:r>
        <w:t xml:space="preserve">6.1 L1 Tooling —</w:t>
      </w:r>
      <w:r>
        <w:t xml:space="preserve"> </w:t>
      </w:r>
      <w:r>
        <w:rPr>
          <w:rStyle w:val="VerbatimChar"/>
        </w:rPr>
        <w:t xml:space="preserve">Prompts/L1/</w:t>
      </w:r>
      <w:bookmarkEnd w:id="42"/>
    </w:p>
    <w:p>
      <w:pPr>
        <w:pStyle w:val="FirstParagraph"/>
      </w:pPr>
      <w:r>
        <w:t xml:space="preserve">Current version: V2.2. Read</w:t>
      </w:r>
      <w:r>
        <w:t xml:space="preserve"> </w:t>
      </w:r>
      <w:r>
        <w:rPr>
          <w:rStyle w:val="VerbatimChar"/>
        </w:rPr>
        <w:t xml:space="preserve">L1_design_framework.md</w:t>
      </w:r>
      <w:r>
        <w:t xml:space="preserve"> </w:t>
      </w:r>
      <w:r>
        <w:t xml:space="preserve">before any L1 work.</w:t>
      </w:r>
    </w:p>
    <w:p>
      <w:pPr>
        <w:pStyle w:val="BodyText"/>
      </w:pPr>
      <w:r>
        <w:rPr>
          <w:b/>
        </w:rPr>
        <w:t xml:space="preserve">Methodology and version history:</w:t>
      </w:r>
    </w:p>
    <w:tbl>
      <w:tblPr>
        <w:tblStyle w:val="TableGrid"/>
        <w:tblW w:type="pct" w:w="5000.0"/>
        <w:tblLook w:firstRow="1"/>
      </w:tblPr>
      <w:tblGrid>
        <w:gridCol w:w="3168"/>
        <w:gridCol w:w="4752"/>
      </w:tblGrid>
      <w:tr>
        <w:trPr>
          <w:cnfStyle w:firstRow="1"/>
        </w:trPr>
        <w:tc>
          <w:tcPr>
            <w:tcBorders>
              <w:bottom w:val="single"/>
            </w:tcBorders>
            <w:vAlign w:val="bottom"/>
            <w:shd w:val="clear" w:color="auto" w:fill="1B3A6B"/>
          </w:tcPr>
          <w:p>
            <w:pPr>
              <w:pStyle w:val="Compact"/>
              <w:jc w:val="left"/>
            </w:pPr>
            <w:r>
              <w:rPr>
                <w:b/>
                <w:color w:val="FFFFFF"/>
              </w:rPr>
              <w:t xml:space="preserve">File</w:t>
            </w:r>
          </w:p>
        </w:tc>
        <w:tc>
          <w:tcPr>
            <w:tcBorders>
              <w:bottom w:val="single"/>
            </w:tcBorders>
            <w:vAlign w:val="bottom"/>
            <w:shd w:val="clear" w:color="auto" w:fill="1B3A6B"/>
          </w:tcPr>
          <w:p>
            <w:pPr>
              <w:pStyle w:val="Compact"/>
              <w:jc w:val="left"/>
            </w:pPr>
            <w:r>
              <w:rPr>
                <w:b/>
                <w:color w:val="FFFFFF"/>
              </w:rPr>
              <w:t xml:space="preserve">Purpose</w:t>
            </w:r>
          </w:p>
        </w:tc>
      </w:tr>
      <w:tr>
        <w:tc>
          <w:p>
            <w:pPr>
              <w:pStyle w:val="Compact"/>
              <w:jc w:val="left"/>
            </w:pPr>
            <w:r>
              <w:rPr>
                <w:rStyle w:val="VerbatimChar"/>
              </w:rPr>
              <w:t xml:space="preserve">L1_design_framework.md</w:t>
            </w:r>
          </w:p>
        </w:tc>
        <w:tc>
          <w:p>
            <w:pPr>
              <w:pStyle w:val="Compact"/>
              <w:jc w:val="left"/>
            </w:pPr>
            <w:r>
              <w:t xml:space="preserve">L1 methodology companion — read before any L1 work</w:t>
            </w:r>
          </w:p>
        </w:tc>
      </w:tr>
      <w:tr>
        <w:tc>
          <w:p>
            <w:pPr>
              <w:pStyle w:val="Compact"/>
              <w:jc w:val="left"/>
            </w:pPr>
            <w:r>
              <w:rPr>
                <w:rStyle w:val="VerbatimChar"/>
              </w:rPr>
              <w:t xml:space="preserve">L1_Workshop_Dry_Run.md</w:t>
            </w:r>
          </w:p>
        </w:tc>
        <w:tc>
          <w:p>
            <w:pPr>
              <w:pStyle w:val="Compact"/>
              <w:jc w:val="left"/>
            </w:pPr>
            <w:r>
              <w:t xml:space="preserve">Step-by-step L1 process walkthrough — four phases</w:t>
            </w:r>
          </w:p>
        </w:tc>
      </w:tr>
      <w:tr>
        <w:tc>
          <w:p>
            <w:pPr>
              <w:pStyle w:val="Compact"/>
              <w:jc w:val="left"/>
            </w:pPr>
            <w:r>
              <w:rPr>
                <w:rStyle w:val="VerbatimChar"/>
              </w:rPr>
              <w:t xml:space="preserve">L1_process_design_agent_CHANGELOG.md</w:t>
            </w:r>
          </w:p>
        </w:tc>
        <w:tc>
          <w:p>
            <w:pPr>
              <w:pStyle w:val="Compact"/>
              <w:jc w:val="left"/>
            </w:pPr>
            <w:r>
              <w:t xml:space="preserve">L1 prompt version history and known failure modes</w:t>
            </w:r>
          </w:p>
        </w:tc>
      </w:tr>
      <w:tr>
        <w:tc>
          <w:p>
            <w:pPr>
              <w:pStyle w:val="Compact"/>
              <w:jc w:val="left"/>
            </w:pPr>
            <w:r>
              <w:rPr>
                <w:rStyle w:val="VerbatimChar"/>
              </w:rPr>
              <w:t xml:space="preserve">L1_framework_update_agent.md</w:t>
            </w:r>
          </w:p>
        </w:tc>
        <w:tc>
          <w:p>
            <w:pPr>
              <w:pStyle w:val="Compact"/>
              <w:jc w:val="left"/>
            </w:pPr>
            <w:r>
              <w:t xml:space="preserve">Agent for updating cross-process artefacts (FAR, L1 Architecture Overview)</w:t>
            </w:r>
          </w:p>
        </w:tc>
      </w:tr>
    </w:tbl>
    <w:p>
      <w:pPr>
        <w:pStyle w:val="BodyText"/>
      </w:pPr>
      <w:r>
        <w:rPr>
          <w:b/>
        </w:rPr>
        <w:t xml:space="preserve">Agent prompt files —</w:t>
      </w:r>
      <w:r>
        <w:rPr>
          <w:b/>
        </w:rPr>
        <w:t xml:space="preserve"> </w:t>
      </w:r>
      <w:r>
        <w:rPr>
          <w:rStyle w:val="VerbatimChar"/>
          <w:b/>
        </w:rPr>
        <w:t xml:space="preserve">Prompts/L1/agents/</w:t>
      </w:r>
      <w:r>
        <w:rPr>
          <w:b/>
        </w:rPr>
        <w:t xml:space="preserve">:</w:t>
      </w:r>
    </w:p>
    <w:tbl>
      <w:tblPr>
        <w:tblStyle w:val="TableGrid"/>
        <w:tblW w:type="pct" w:w="5000.0"/>
        <w:tblLook w:firstRow="1"/>
      </w:tblPr>
      <w:tblGrid>
        <w:gridCol w:w="1584"/>
        <w:gridCol w:w="2376"/>
        <w:gridCol w:w="3960"/>
      </w:tblGrid>
      <w:tr>
        <w:trPr>
          <w:cnfStyle w:firstRow="1"/>
        </w:trPr>
        <w:tc>
          <w:tcPr>
            <w:tcBorders>
              <w:bottom w:val="single"/>
            </w:tcBorders>
            <w:vAlign w:val="bottom"/>
            <w:shd w:val="clear" w:color="auto" w:fill="1B3A6B"/>
          </w:tcPr>
          <w:p>
            <w:pPr>
              <w:pStyle w:val="Compact"/>
              <w:jc w:val="left"/>
            </w:pPr>
            <w:r>
              <w:rPr>
                <w:b/>
                <w:color w:val="FFFFFF"/>
              </w:rPr>
              <w:t xml:space="preserve">File</w:t>
            </w:r>
          </w:p>
        </w:tc>
        <w:tc>
          <w:tcPr>
            <w:tcBorders>
              <w:bottom w:val="single"/>
            </w:tcBorders>
            <w:vAlign w:val="bottom"/>
            <w:shd w:val="clear" w:color="auto" w:fill="1B3A6B"/>
          </w:tcPr>
          <w:p>
            <w:pPr>
              <w:pStyle w:val="Compact"/>
              <w:jc w:val="left"/>
            </w:pPr>
            <w:r>
              <w:rPr>
                <w:b/>
                <w:color w:val="FFFFFF"/>
              </w:rPr>
              <w:t xml:space="preserve">Produces</w:t>
            </w:r>
          </w:p>
        </w:tc>
        <w:tc>
          <w:tcPr>
            <w:tcBorders>
              <w:bottom w:val="single"/>
            </w:tcBorders>
            <w:vAlign w:val="bottom"/>
            <w:shd w:val="clear" w:color="auto" w:fill="1B3A6B"/>
          </w:tcPr>
          <w:p>
            <w:pPr>
              <w:pStyle w:val="Compact"/>
              <w:jc w:val="left"/>
            </w:pPr>
            <w:r>
              <w:rPr>
                <w:b/>
                <w:color w:val="FFFFFF"/>
              </w:rPr>
              <w:t xml:space="preserve">Deck filename</w:t>
            </w:r>
          </w:p>
        </w:tc>
      </w:tr>
      <w:tr>
        <w:tc>
          <w:p>
            <w:pPr>
              <w:pStyle w:val="Compact"/>
              <w:jc w:val="left"/>
            </w:pPr>
            <w:r>
              <w:rPr>
                <w:rStyle w:val="VerbatimChar"/>
              </w:rPr>
              <w:t xml:space="preserve">Industry_Research_Agent.md</w:t>
            </w:r>
          </w:p>
        </w:tc>
        <w:tc>
          <w:p>
            <w:pPr>
              <w:pStyle w:val="Compact"/>
              <w:jc w:val="left"/>
            </w:pPr>
            <w:r>
              <w:t xml:space="preserve">Industry Research Pack</w:t>
            </w:r>
          </w:p>
        </w:tc>
        <w:tc>
          <w:p>
            <w:pPr>
              <w:pStyle w:val="Compact"/>
              <w:jc w:val="left"/>
            </w:pPr>
            <w:r>
              <w:t xml:space="preserve">—</w:t>
            </w:r>
          </w:p>
        </w:tc>
      </w:tr>
      <w:tr>
        <w:tc>
          <w:p>
            <w:pPr>
              <w:pStyle w:val="Compact"/>
              <w:jc w:val="left"/>
            </w:pPr>
            <w:r>
              <w:rPr>
                <w:rStyle w:val="VerbatimChar"/>
              </w:rPr>
              <w:t xml:space="preserve">Industry_Standards_Mapper.md</w:t>
            </w:r>
          </w:p>
        </w:tc>
        <w:tc>
          <w:p>
            <w:pPr>
              <w:pStyle w:val="Compact"/>
              <w:jc w:val="left"/>
            </w:pPr>
            <w:r>
              <w:t xml:space="preserve">Regulatory and Liability Landscape Profile</w:t>
            </w:r>
          </w:p>
        </w:tc>
        <w:tc>
          <w:p>
            <w:pPr>
              <w:pStyle w:val="Compact"/>
              <w:jc w:val="left"/>
            </w:pPr>
            <w:r>
              <w:t xml:space="preserve">—</w:t>
            </w:r>
          </w:p>
        </w:tc>
      </w:tr>
      <w:tr>
        <w:tc>
          <w:p>
            <w:pPr>
              <w:pStyle w:val="Compact"/>
              <w:jc w:val="left"/>
            </w:pPr>
            <w:r>
              <w:rPr>
                <w:rStyle w:val="VerbatimChar"/>
              </w:rPr>
              <w:t xml:space="preserve">Competing_Frameworks_Agent.md</w:t>
            </w:r>
          </w:p>
        </w:tc>
        <w:tc>
          <w:p>
            <w:pPr>
              <w:pStyle w:val="Compact"/>
              <w:jc w:val="left"/>
            </w:pPr>
            <w:r>
              <w:t xml:space="preserve">Competing Frameworks Comparison Table</w:t>
            </w:r>
          </w:p>
        </w:tc>
        <w:tc>
          <w:p>
            <w:pPr>
              <w:pStyle w:val="Compact"/>
              <w:jc w:val="left"/>
            </w:pPr>
            <w:r>
              <w:t xml:space="preserve">—</w:t>
            </w:r>
          </w:p>
        </w:tc>
      </w:tr>
      <w:tr>
        <w:tc>
          <w:p>
            <w:pPr>
              <w:pStyle w:val="Compact"/>
              <w:jc w:val="left"/>
            </w:pPr>
            <w:r>
              <w:rPr>
                <w:rStyle w:val="VerbatimChar"/>
              </w:rPr>
              <w:t xml:space="preserve">Candidate_L1_Generator_Agent.md</w:t>
            </w:r>
          </w:p>
        </w:tc>
        <w:tc>
          <w:p>
            <w:pPr>
              <w:pStyle w:val="Compact"/>
              <w:jc w:val="left"/>
            </w:pPr>
            <w:r>
              <w:t xml:space="preserve">Candidate Value Stream Map —</w:t>
            </w:r>
            <w:r>
              <w:t xml:space="preserve"> </w:t>
            </w:r>
            <w:r>
              <w:rPr>
                <w:rStyle w:val="VerbatimChar"/>
              </w:rPr>
              <w:t xml:space="preserve">Candidate_VSM.md</w:t>
            </w:r>
            <w:r>
              <w:t xml:space="preserve"> </w:t>
            </w:r>
            <w:r>
              <w:t xml:space="preserve">+ deck</w:t>
            </w:r>
          </w:p>
        </w:tc>
        <w:tc>
          <w:p>
            <w:pPr>
              <w:pStyle w:val="Compact"/>
              <w:jc w:val="left"/>
            </w:pPr>
            <w:r>
              <w:rPr>
                <w:rStyle w:val="VerbatimChar"/>
              </w:rPr>
              <w:t xml:space="preserve">&lt;frameworkSlug&gt;_L1_Candidate_VSM.pptx</w:t>
            </w:r>
          </w:p>
        </w:tc>
      </w:tr>
      <w:tr>
        <w:tc>
          <w:p>
            <w:pPr>
              <w:pStyle w:val="Compact"/>
              <w:jc w:val="left"/>
            </w:pPr>
            <w:r>
              <w:rPr>
                <w:rStyle w:val="VerbatimChar"/>
              </w:rPr>
              <w:t xml:space="preserve">L1_Framing_Deck_Agent.md</w:t>
            </w:r>
          </w:p>
        </w:tc>
        <w:tc>
          <w:p>
            <w:pPr>
              <w:pStyle w:val="Compact"/>
              <w:jc w:val="left"/>
            </w:pPr>
            <w:r>
              <w:t xml:space="preserve">L1 Framing Deck —</w:t>
            </w:r>
            <w:r>
              <w:t xml:space="preserve"> </w:t>
            </w:r>
            <w:r>
              <w:rPr>
                <w:rStyle w:val="VerbatimChar"/>
              </w:rPr>
              <w:t xml:space="preserve">L1_Framing_Deck.md</w:t>
            </w:r>
            <w:r>
              <w:t xml:space="preserve"> </w:t>
            </w:r>
            <w:r>
              <w:t xml:space="preserve">+ deck</w:t>
            </w:r>
          </w:p>
        </w:tc>
        <w:tc>
          <w:p>
            <w:pPr>
              <w:pStyle w:val="Compact"/>
              <w:jc w:val="left"/>
            </w:pPr>
            <w:r>
              <w:rPr>
                <w:rStyle w:val="VerbatimChar"/>
              </w:rPr>
              <w:t xml:space="preserve">&lt;frameworkSlug&gt;_L1_Framing.pptx</w:t>
            </w:r>
          </w:p>
        </w:tc>
      </w:tr>
      <w:tr>
        <w:tc>
          <w:p>
            <w:pPr>
              <w:pStyle w:val="Compact"/>
              <w:jc w:val="left"/>
            </w:pPr>
            <w:r>
              <w:rPr>
                <w:rStyle w:val="VerbatimChar"/>
              </w:rPr>
              <w:t xml:space="preserve">Agent_Primer_generation_prompt.md</w:t>
            </w:r>
          </w:p>
        </w:tc>
        <w:tc>
          <w:p>
            <w:pPr>
              <w:pStyle w:val="Compact"/>
              <w:jc w:val="left"/>
            </w:pPr>
            <w:r>
              <w:t xml:space="preserve">Agent Primer —</w:t>
            </w:r>
            <w:r>
              <w:t xml:space="preserve"> </w:t>
            </w:r>
            <w:r>
              <w:rPr>
                <w:rStyle w:val="VerbatimChar"/>
              </w:rPr>
              <w:t xml:space="preserve">Agent_Primer.md</w:t>
            </w:r>
            <w:r>
              <w:t xml:space="preserve"> </w:t>
            </w:r>
            <w:r>
              <w:t xml:space="preserve">+ deck</w:t>
            </w:r>
          </w:p>
        </w:tc>
        <w:tc>
          <w:p>
            <w:pPr>
              <w:pStyle w:val="Compact"/>
              <w:jc w:val="left"/>
            </w:pPr>
            <w:r>
              <w:rPr>
                <w:rStyle w:val="VerbatimChar"/>
              </w:rPr>
              <w:t xml:space="preserve">&lt;frameworkSlug&gt;_L1_Agent_Primer.pptx</w:t>
            </w:r>
          </w:p>
        </w:tc>
      </w:tr>
      <w:tr>
        <w:tc>
          <w:p>
            <w:pPr>
              <w:pStyle w:val="Compact"/>
              <w:jc w:val="left"/>
            </w:pPr>
            <w:r>
              <w:rPr>
                <w:rStyle w:val="VerbatimChar"/>
              </w:rPr>
              <w:t xml:space="preserve">Framework_Agent_Register_Agent.md</w:t>
            </w:r>
          </w:p>
        </w:tc>
        <w:tc>
          <w:p>
            <w:pPr>
              <w:pStyle w:val="Compact"/>
              <w:jc w:val="left"/>
            </w:pPr>
            <w:r>
              <w:t xml:space="preserve">Framework Agent Register (FAR) — updated at Stage 10</w:t>
            </w:r>
          </w:p>
        </w:tc>
        <w:tc>
          <w:p>
            <w:pPr>
              <w:pStyle w:val="Compact"/>
              <w:jc w:val="left"/>
            </w:pPr>
            <w:r>
              <w:t xml:space="preserve">—</w:t>
            </w:r>
          </w:p>
        </w:tc>
      </w:tr>
      <w:tr>
        <w:tc>
          <w:p>
            <w:pPr>
              <w:pStyle w:val="Compact"/>
              <w:jc w:val="left"/>
            </w:pPr>
            <w:r>
              <w:rPr>
                <w:i/>
              </w:rPr>
              <w:t xml:space="preserve">(post-workshop, no agent)</w:t>
            </w:r>
          </w:p>
        </w:tc>
        <w:tc>
          <w:p>
            <w:pPr>
              <w:pStyle w:val="Compact"/>
              <w:jc w:val="left"/>
            </w:pPr>
            <w:r>
              <w:t xml:space="preserve">L1 Workshop Summary Deck</w:t>
            </w:r>
          </w:p>
        </w:tc>
        <w:tc>
          <w:p>
            <w:pPr>
              <w:pStyle w:val="Compact"/>
              <w:jc w:val="left"/>
            </w:pPr>
            <w:r>
              <w:rPr>
                <w:rStyle w:val="VerbatimChar"/>
              </w:rPr>
              <w:t xml:space="preserve">&lt;frameworkSlug&gt;_L1_Summary.pptx</w:t>
            </w:r>
          </w:p>
        </w:tc>
      </w:tr>
      <w:tr>
        <w:tc>
          <w:p>
            <w:pPr>
              <w:pStyle w:val="Compact"/>
              <w:jc w:val="left"/>
            </w:pPr>
            <w:r>
              <w:rPr>
                <w:rStyle w:val="VerbatimChar"/>
              </w:rPr>
              <w:t xml:space="preserve">L1_Agentic_Architecture_Overview_Agent.md</w:t>
            </w:r>
          </w:p>
        </w:tc>
        <w:tc>
          <w:p>
            <w:pPr>
              <w:pStyle w:val="Compact"/>
              <w:jc w:val="left"/>
            </w:pPr>
            <w:r>
              <w:t xml:space="preserve">L1 Agentic Architecture Overview — updated at Stage 10</w:t>
            </w:r>
          </w:p>
        </w:tc>
        <w:tc>
          <w:p>
            <w:pPr>
              <w:pStyle w:val="Compact"/>
              <w:jc w:val="left"/>
            </w:pPr>
            <w:r>
              <w:t xml:space="preserve">—</w:t>
            </w:r>
          </w:p>
        </w:tc>
      </w:tr>
    </w:tbl>
    <w:p>
      <w:pPr>
        <w:pStyle w:val="BodyText"/>
      </w:pPr>
      <w:r>
        <w:rPr>
          <w:b/>
        </w:rPr>
        <w:t xml:space="preserve">How the decks are produced (STD-42).</w:t>
      </w:r>
      <w:r>
        <w:t xml:space="preserve"> </w:t>
      </w:r>
      <w:r>
        <w:t xml:space="preserve">There is no L1 deck generator and none will be written. Each deck is built through the bundled skill at</w:t>
      </w:r>
      <w:r>
        <w:t xml:space="preserve"> </w:t>
      </w:r>
      <w:r>
        <w:rPr>
          <w:rStyle w:val="VerbatimChar"/>
        </w:rPr>
        <w:t xml:space="preserve">Skills/capgemini-presentation/</w:t>
      </w:r>
      <w:r>
        <w:t xml:space="preserve"> </w:t>
      </w:r>
      <w:r>
        <w:t xml:space="preserve">— storyboard sign-off, build, then independent visual QA — with the markdown remaining the source of truth.</w:t>
      </w:r>
      <w:r>
        <w:t xml:space="preserve"> </w:t>
      </w:r>
      <w:r>
        <w:rPr>
          <w:rStyle w:val="VerbatimChar"/>
        </w:rPr>
        <w:t xml:space="preserve">frameworkSlug</w:t>
      </w:r>
      <w:r>
        <w:t xml:space="preserve"> </w:t>
      </w:r>
      <w:r>
        <w:t xml:space="preserve">is read from</w:t>
      </w:r>
      <w:r>
        <w:t xml:space="preserve"> </w:t>
      </w:r>
      <w:r>
        <w:rPr>
          <w:rStyle w:val="VerbatimChar"/>
        </w:rPr>
        <w:t xml:space="preserve">[FRAMEWORK_ROOT]/Framework Settings/framework.json</w:t>
      </w:r>
      <w:r>
        <w:t xml:space="preserve">, never derived from the folder name. L1 decks are a named exception to STD-14, because at L1 correctness is established by the workshop and by facilitator review rather than by a validator; the one carve-out is the Summary Deck, whose presence is checked at the L2 handoff gate.</w:t>
      </w:r>
    </w:p>
    <w:p>
      <w:pPr>
        <w:pStyle w:val="BodyText"/>
      </w:pPr>
      <w:r>
        <w:rPr>
          <w:b/>
        </w:rPr>
        <w:t xml:space="preserve">Setup workflow —</w:t>
      </w:r>
      <w:r>
        <w:rPr>
          <w:b/>
        </w:rPr>
        <w:t xml:space="preserve"> </w:t>
      </w:r>
      <w:r>
        <w:rPr>
          <w:rStyle w:val="VerbatimChar"/>
          <w:b/>
        </w:rPr>
        <w:t xml:space="preserve">Prompts/L1/setup/</w:t>
      </w:r>
      <w:r>
        <w:rPr>
          <w:b/>
        </w:rPr>
        <w:t xml:space="preserve">:</w:t>
      </w:r>
    </w:p>
    <w:tbl>
      <w:tblPr>
        <w:tblStyle w:val="TableGrid"/>
        <w:tblW w:type="pct" w:w="5000.0"/>
        <w:tblLook w:firstRow="1"/>
      </w:tblPr>
      <w:tblGrid>
        <w:gridCol w:w="3168"/>
        <w:gridCol w:w="4752"/>
      </w:tblGrid>
      <w:tr>
        <w:trPr>
          <w:cnfStyle w:firstRow="1"/>
        </w:trPr>
        <w:tc>
          <w:tcPr>
            <w:tcBorders>
              <w:bottom w:val="single"/>
            </w:tcBorders>
            <w:vAlign w:val="bottom"/>
            <w:shd w:val="clear" w:color="auto" w:fill="1B3A6B"/>
          </w:tcPr>
          <w:p>
            <w:pPr>
              <w:pStyle w:val="Compact"/>
              <w:jc w:val="left"/>
            </w:pPr>
            <w:r>
              <w:rPr>
                <w:b/>
                <w:color w:val="FFFFFF"/>
              </w:rPr>
              <w:t xml:space="preserve">File</w:t>
            </w:r>
          </w:p>
        </w:tc>
        <w:tc>
          <w:tcPr>
            <w:tcBorders>
              <w:bottom w:val="single"/>
            </w:tcBorders>
            <w:vAlign w:val="bottom"/>
            <w:shd w:val="clear" w:color="auto" w:fill="1B3A6B"/>
          </w:tcPr>
          <w:p>
            <w:pPr>
              <w:pStyle w:val="Compact"/>
              <w:jc w:val="left"/>
            </w:pPr>
            <w:r>
              <w:rPr>
                <w:b/>
                <w:color w:val="FFFFFF"/>
              </w:rPr>
              <w:t xml:space="preserve">Purpose</w:t>
            </w:r>
          </w:p>
        </w:tc>
      </w:tr>
      <w:tr>
        <w:tc>
          <w:p>
            <w:pPr>
              <w:pStyle w:val="Compact"/>
              <w:jc w:val="left"/>
            </w:pPr>
            <w:r>
              <w:rPr>
                <w:rStyle w:val="VerbatimChar"/>
              </w:rPr>
              <w:t xml:space="preserve">New_Framework_Setup_Agent.md</w:t>
            </w:r>
          </w:p>
        </w:tc>
        <w:tc>
          <w:p>
            <w:pPr>
              <w:pStyle w:val="Compact"/>
              <w:jc w:val="left"/>
            </w:pPr>
            <w:r>
              <w:t xml:space="preserve">8-phase workflow for new framework scaffolding — run this first</w:t>
            </w:r>
          </w:p>
        </w:tc>
      </w:tr>
    </w:tbl>
    <w:p>
      <w:pPr>
        <w:pStyle w:val="BodyText"/>
      </w:pPr>
      <w:r>
        <w:rPr>
          <w:b/>
        </w:rPr>
        <w:t xml:space="preserve">Output templates —</w:t>
      </w:r>
      <w:r>
        <w:rPr>
          <w:b/>
        </w:rPr>
        <w:t xml:space="preserve"> </w:t>
      </w:r>
      <w:r>
        <w:rPr>
          <w:rStyle w:val="VerbatimChar"/>
          <w:b/>
        </w:rPr>
        <w:t xml:space="preserve">Prompts/L1/templates/</w:t>
      </w:r>
      <w:r>
        <w:rPr>
          <w:b/>
        </w:rPr>
        <w:t xml:space="preserve">:</w:t>
      </w:r>
    </w:p>
    <w:tbl>
      <w:tblPr>
        <w:tblStyle w:val="TableGrid"/>
        <w:tblW w:type="pct" w:w="5000.0"/>
        <w:tblLook w:firstRow="1"/>
      </w:tblPr>
      <w:tblGrid>
        <w:gridCol w:w="3168"/>
        <w:gridCol w:w="4752"/>
      </w:tblGrid>
      <w:tr>
        <w:trPr>
          <w:cnfStyle w:firstRow="1"/>
        </w:trPr>
        <w:tc>
          <w:tcPr>
            <w:tcBorders>
              <w:bottom w:val="single"/>
            </w:tcBorders>
            <w:vAlign w:val="bottom"/>
            <w:shd w:val="clear" w:color="auto" w:fill="1B3A6B"/>
          </w:tcPr>
          <w:p>
            <w:pPr>
              <w:pStyle w:val="Compact"/>
              <w:jc w:val="left"/>
            </w:pPr>
            <w:r>
              <w:rPr>
                <w:b/>
                <w:color w:val="FFFFFF"/>
              </w:rPr>
              <w:t xml:space="preserve">File</w:t>
            </w:r>
          </w:p>
        </w:tc>
        <w:tc>
          <w:tcPr>
            <w:tcBorders>
              <w:bottom w:val="single"/>
            </w:tcBorders>
            <w:vAlign w:val="bottom"/>
            <w:shd w:val="clear" w:color="auto" w:fill="1B3A6B"/>
          </w:tcPr>
          <w:p>
            <w:pPr>
              <w:pStyle w:val="Compact"/>
              <w:jc w:val="left"/>
            </w:pPr>
            <w:r>
              <w:rPr>
                <w:b/>
                <w:color w:val="FFFFFF"/>
              </w:rPr>
              <w:t xml:space="preserve">Purpose</w:t>
            </w:r>
          </w:p>
        </w:tc>
      </w:tr>
      <w:tr>
        <w:tc>
          <w:p>
            <w:pPr>
              <w:pStyle w:val="Compact"/>
              <w:jc w:val="left"/>
            </w:pPr>
            <w:r>
              <w:rPr>
                <w:rStyle w:val="VerbatimChar"/>
              </w:rPr>
              <w:t xml:space="preserve">Industry_Research_Pack_template.md</w:t>
            </w:r>
          </w:p>
        </w:tc>
        <w:tc>
          <w:p>
            <w:pPr>
              <w:pStyle w:val="Compact"/>
              <w:jc w:val="left"/>
            </w:pPr>
            <w:r>
              <w:t xml:space="preserve">Output structure for Research Pack</w:t>
            </w:r>
          </w:p>
        </w:tc>
      </w:tr>
      <w:tr>
        <w:tc>
          <w:p>
            <w:pPr>
              <w:pStyle w:val="Compact"/>
              <w:jc w:val="left"/>
            </w:pPr>
            <w:r>
              <w:rPr>
                <w:rStyle w:val="VerbatimChar"/>
              </w:rPr>
              <w:t xml:space="preserve">Candidate_VSM_template.md</w:t>
            </w:r>
          </w:p>
        </w:tc>
        <w:tc>
          <w:p>
            <w:pPr>
              <w:pStyle w:val="Compact"/>
              <w:jc w:val="left"/>
            </w:pPr>
            <w:r>
              <w:t xml:space="preserve">Output structure for Candidate VSM</w:t>
            </w:r>
          </w:p>
        </w:tc>
      </w:tr>
      <w:tr>
        <w:tc>
          <w:p>
            <w:pPr>
              <w:pStyle w:val="Compact"/>
              <w:jc w:val="left"/>
            </w:pPr>
            <w:r>
              <w:rPr>
                <w:rStyle w:val="VerbatimChar"/>
              </w:rPr>
              <w:t xml:space="preserve">L1_Decisions_Log_template.md</w:t>
            </w:r>
          </w:p>
        </w:tc>
        <w:tc>
          <w:p>
            <w:pPr>
              <w:pStyle w:val="Compact"/>
              <w:jc w:val="left"/>
            </w:pPr>
            <w:r>
              <w:t xml:space="preserve">Pre-built workshop decisions capture template</w:t>
            </w:r>
          </w:p>
        </w:tc>
      </w:tr>
    </w:tbl>
    <w:p>
      <w:pPr>
        <w:pStyle w:val="BodyText"/>
      </w:pPr>
      <w:r>
        <w:rPr>
          <w:b/>
        </w:rPr>
        <w:t xml:space="preserve">Export and register tooling:</w:t>
      </w:r>
    </w:p>
    <w:tbl>
      <w:tblPr>
        <w:tblStyle w:val="TableGrid"/>
        <w:tblW w:type="pct" w:w="5000.0"/>
        <w:tblLook w:firstRow="1"/>
      </w:tblPr>
      <w:tblGrid>
        <w:gridCol w:w="3168"/>
        <w:gridCol w:w="4752"/>
      </w:tblGrid>
      <w:tr>
        <w:trPr>
          <w:cnfStyle w:firstRow="1"/>
        </w:trPr>
        <w:tc>
          <w:tcPr>
            <w:tcBorders>
              <w:bottom w:val="single"/>
            </w:tcBorders>
            <w:vAlign w:val="bottom"/>
            <w:shd w:val="clear" w:color="auto" w:fill="1B3A6B"/>
          </w:tcPr>
          <w:p>
            <w:pPr>
              <w:pStyle w:val="Compact"/>
              <w:jc w:val="left"/>
            </w:pPr>
            <w:r>
              <w:rPr>
                <w:b/>
                <w:color w:val="FFFFFF"/>
              </w:rPr>
              <w:t xml:space="preserve">File</w:t>
            </w:r>
          </w:p>
        </w:tc>
        <w:tc>
          <w:tcPr>
            <w:tcBorders>
              <w:bottom w:val="single"/>
            </w:tcBorders>
            <w:vAlign w:val="bottom"/>
            <w:shd w:val="clear" w:color="auto" w:fill="1B3A6B"/>
          </w:tcPr>
          <w:p>
            <w:pPr>
              <w:pStyle w:val="Compact"/>
              <w:jc w:val="left"/>
            </w:pPr>
            <w:r>
              <w:rPr>
                <w:b/>
                <w:color w:val="FFFFFF"/>
              </w:rPr>
              <w:t xml:space="preserve">Produces</w:t>
            </w:r>
          </w:p>
        </w:tc>
      </w:tr>
      <w:tr>
        <w:tc>
          <w:p>
            <w:pPr>
              <w:pStyle w:val="Compact"/>
              <w:jc w:val="left"/>
            </w:pPr>
            <w:r>
              <w:rPr>
                <w:rStyle w:val="VerbatimChar"/>
              </w:rPr>
              <w:t xml:space="preserve">FullProcessExport.md</w:t>
            </w:r>
          </w:p>
        </w:tc>
        <w:tc>
          <w:p>
            <w:pPr>
              <w:pStyle w:val="Compact"/>
              <w:jc w:val="left"/>
            </w:pPr>
            <w:r>
              <w:t xml:space="preserve">Full Process Register spreadsheet (XLSX) — all L1/L2/L3 processes</w:t>
            </w:r>
          </w:p>
        </w:tc>
      </w:tr>
      <w:tr>
        <w:tc>
          <w:p>
            <w:pPr>
              <w:pStyle w:val="Compact"/>
              <w:jc w:val="left"/>
            </w:pPr>
            <w:r>
              <w:rPr>
                <w:rStyle w:val="VerbatimChar"/>
              </w:rPr>
              <w:t xml:space="preserve">ProcessHierarchyGenerator.md</w:t>
            </w:r>
          </w:p>
        </w:tc>
        <w:tc>
          <w:p>
            <w:pPr>
              <w:pStyle w:val="Compact"/>
              <w:jc w:val="left"/>
            </w:pPr>
            <w:r>
              <w:t xml:space="preserve">Interactive HTML + PPTX process hierarchy views</w:t>
            </w:r>
          </w:p>
        </w:tc>
      </w:tr>
      <w:tr>
        <w:tc>
          <w:p>
            <w:pPr>
              <w:pStyle w:val="Compact"/>
              <w:jc w:val="left"/>
            </w:pPr>
            <w:r>
              <w:rPr>
                <w:rStyle w:val="VerbatimChar"/>
              </w:rPr>
              <w:t xml:space="preserve">generate_hierarchy_html.py</w:t>
            </w:r>
          </w:p>
        </w:tc>
        <w:tc>
          <w:p>
            <w:pPr>
              <w:pStyle w:val="Compact"/>
              <w:jc w:val="left"/>
            </w:pPr>
            <w:r>
              <w:t xml:space="preserve">HTML generator for process hierarchy</w:t>
            </w:r>
          </w:p>
        </w:tc>
      </w:tr>
      <w:tr>
        <w:tc>
          <w:p>
            <w:pPr>
              <w:pStyle w:val="Compact"/>
              <w:jc w:val="left"/>
            </w:pPr>
            <w:r>
              <w:rPr>
                <w:rStyle w:val="VerbatimChar"/>
              </w:rPr>
              <w:t xml:space="preserve">generate_hierarchy_pptx.py</w:t>
            </w:r>
          </w:p>
        </w:tc>
        <w:tc>
          <w:p>
            <w:pPr>
              <w:pStyle w:val="Compact"/>
              <w:jc w:val="left"/>
            </w:pPr>
            <w:r>
              <w:t xml:space="preserve">PPTX generator for process hierarchy</w:t>
            </w:r>
          </w:p>
        </w:tc>
      </w:tr>
    </w:tbl>
    <w:p>
      <w:pPr>
        <w:pStyle w:val="Heading3"/>
      </w:pPr>
      <w:bookmarkStart w:id="43" w:name="l2-tooling-promptsl2"/>
      <w:r>
        <w:t xml:space="preserve">6.2 L2 Tooling —</w:t>
      </w:r>
      <w:r>
        <w:t xml:space="preserve"> </w:t>
      </w:r>
      <w:r>
        <w:rPr>
          <w:rStyle w:val="VerbatimChar"/>
        </w:rPr>
        <w:t xml:space="preserve">Prompts/L2/</w:t>
      </w:r>
      <w:bookmarkEnd w:id="43"/>
    </w:p>
    <w:p>
      <w:pPr>
        <w:pStyle w:val="FirstParagraph"/>
      </w:pPr>
      <w:r>
        <w:t xml:space="preserve">Current version: V3.4. Mandatory 3-step gate sequence for every PPTX. Schema version: 2.0.</w:t>
      </w:r>
    </w:p>
    <w:tbl>
      <w:tblPr>
        <w:tblStyle w:val="TableGrid"/>
        <w:tblW w:type="pct" w:w="5000.0"/>
        <w:tblLook w:firstRow="1"/>
      </w:tblPr>
      <w:tblGrid>
        <w:gridCol w:w="3168"/>
        <w:gridCol w:w="4752"/>
      </w:tblGrid>
      <w:tr>
        <w:trPr>
          <w:cnfStyle w:firstRow="1"/>
        </w:trPr>
        <w:tc>
          <w:tcPr>
            <w:tcBorders>
              <w:bottom w:val="single"/>
            </w:tcBorders>
            <w:vAlign w:val="bottom"/>
            <w:shd w:val="clear" w:color="auto" w:fill="1B3A6B"/>
          </w:tcPr>
          <w:p>
            <w:pPr>
              <w:pStyle w:val="Compact"/>
              <w:jc w:val="left"/>
            </w:pPr>
            <w:r>
              <w:rPr>
                <w:b/>
                <w:color w:val="FFFFFF"/>
              </w:rPr>
              <w:t xml:space="preserve">File</w:t>
            </w:r>
          </w:p>
        </w:tc>
        <w:tc>
          <w:tcPr>
            <w:tcBorders>
              <w:bottom w:val="single"/>
            </w:tcBorders>
            <w:vAlign w:val="bottom"/>
            <w:shd w:val="clear" w:color="auto" w:fill="1B3A6B"/>
          </w:tcPr>
          <w:p>
            <w:pPr>
              <w:pStyle w:val="Compact"/>
              <w:jc w:val="left"/>
            </w:pPr>
            <w:r>
              <w:rPr>
                <w:b/>
                <w:color w:val="FFFFFF"/>
              </w:rPr>
              <w:t xml:space="preserve">Purpose</w:t>
            </w:r>
          </w:p>
        </w:tc>
      </w:tr>
      <w:tr>
        <w:tc>
          <w:p>
            <w:pPr>
              <w:pStyle w:val="Compact"/>
              <w:jc w:val="left"/>
            </w:pPr>
            <w:r>
              <w:rPr>
                <w:rStyle w:val="VerbatimChar"/>
              </w:rPr>
              <w:t xml:space="preserve">L2_process_design_agent.md</w:t>
            </w:r>
          </w:p>
        </w:tc>
        <w:tc>
          <w:p>
            <w:pPr>
              <w:pStyle w:val="Compact"/>
              <w:jc w:val="left"/>
            </w:pPr>
            <w:r>
              <w:t xml:space="preserve">L2 process design prompt template (10 phases)</w:t>
            </w:r>
          </w:p>
        </w:tc>
      </w:tr>
      <w:tr>
        <w:tc>
          <w:p>
            <w:pPr>
              <w:pStyle w:val="Compact"/>
              <w:jc w:val="left"/>
            </w:pPr>
            <w:r>
              <w:rPr>
                <w:rStyle w:val="VerbatimChar"/>
              </w:rPr>
              <w:t xml:space="preserve">L2_sub_process_design_template.md</w:t>
            </w:r>
          </w:p>
        </w:tc>
        <w:tc>
          <w:p>
            <w:pPr>
              <w:pStyle w:val="Compact"/>
              <w:jc w:val="left"/>
            </w:pPr>
            <w:r>
              <w:t xml:space="preserve">Canonical 15-section L2 document template</w:t>
            </w:r>
          </w:p>
        </w:tc>
      </w:tr>
      <w:tr>
        <w:tc>
          <w:p>
            <w:pPr>
              <w:pStyle w:val="Compact"/>
              <w:jc w:val="left"/>
            </w:pPr>
            <w:r>
              <w:rPr>
                <w:rStyle w:val="VerbatimChar"/>
              </w:rPr>
              <w:t xml:space="preserve">L2_design_framework.md</w:t>
            </w:r>
          </w:p>
        </w:tc>
        <w:tc>
          <w:p>
            <w:pPr>
              <w:pStyle w:val="Compact"/>
              <w:jc w:val="left"/>
            </w:pPr>
            <w:r>
              <w:t xml:space="preserve">L2 methodology companion — read before L2 work</w:t>
            </w:r>
          </w:p>
        </w:tc>
      </w:tr>
      <w:tr>
        <w:tc>
          <w:p>
            <w:pPr>
              <w:pStyle w:val="Compact"/>
              <w:jc w:val="left"/>
            </w:pPr>
            <w:r>
              <w:rPr>
                <w:rStyle w:val="VerbatimChar"/>
              </w:rPr>
              <w:t xml:space="preserve">L2_data.schema.json</w:t>
            </w:r>
          </w:p>
        </w:tc>
        <w:tc>
          <w:p>
            <w:pPr>
              <w:pStyle w:val="Compact"/>
              <w:jc w:val="left"/>
            </w:pPr>
            <w:r>
              <w:t xml:space="preserve">Formal JSON Schema (draft-07) — all</w:t>
            </w:r>
            <w:r>
              <w:t xml:space="preserve"> </w:t>
            </w:r>
            <w:r>
              <w:rPr>
                <w:rStyle w:val="VerbatimChar"/>
              </w:rPr>
              <w:t xml:space="preserve">*_L2_data.json</w:t>
            </w:r>
            <w:r>
              <w:t xml:space="preserve"> </w:t>
            </w:r>
            <w:r>
              <w:t xml:space="preserve">files must include</w:t>
            </w:r>
            <w:r>
              <w:t xml:space="preserve"> </w:t>
            </w:r>
            <w:r>
              <w:rPr>
                <w:rStyle w:val="VerbatimChar"/>
              </w:rPr>
              <w:t xml:space="preserve">"schemaVersion": "2.0"</w:t>
            </w:r>
          </w:p>
        </w:tc>
      </w:tr>
      <w:tr>
        <w:tc>
          <w:p>
            <w:pPr>
              <w:pStyle w:val="Compact"/>
              <w:jc w:val="left"/>
            </w:pPr>
            <w:r>
              <w:rPr>
                <w:rStyle w:val="VerbatimChar"/>
              </w:rPr>
              <w:t xml:space="preserve">validate_l2_json.js</w:t>
            </w:r>
          </w:p>
        </w:tc>
        <w:tc>
          <w:p>
            <w:pPr>
              <w:pStyle w:val="Compact"/>
              <w:jc w:val="left"/>
            </w:pPr>
            <w:r>
              <w:t xml:space="preserve">L2 JSON validator (13 checks J1–J13) — mandatory gate 1</w:t>
            </w:r>
          </w:p>
        </w:tc>
      </w:tr>
      <w:tr>
        <w:tc>
          <w:p>
            <w:pPr>
              <w:pStyle w:val="Compact"/>
              <w:jc w:val="left"/>
            </w:pPr>
            <w:r>
              <w:rPr>
                <w:rStyle w:val="VerbatimChar"/>
              </w:rPr>
              <w:t xml:space="preserve">generate_l2_pptx.js</w:t>
            </w:r>
          </w:p>
        </w:tc>
        <w:tc>
          <w:p>
            <w:pPr>
              <w:pStyle w:val="Compact"/>
              <w:jc w:val="left"/>
            </w:pPr>
            <w:r>
              <w:t xml:space="preserve">L2 PPTX generator — reads</w:t>
            </w:r>
            <w:r>
              <w:t xml:space="preserve"> </w:t>
            </w:r>
            <w:r>
              <w:rPr>
                <w:rStyle w:val="VerbatimChar"/>
              </w:rPr>
              <w:t xml:space="preserve">*_L2_data.json</w:t>
            </w:r>
          </w:p>
        </w:tc>
      </w:tr>
      <w:tr>
        <w:tc>
          <w:p>
            <w:pPr>
              <w:pStyle w:val="Compact"/>
              <w:jc w:val="left"/>
            </w:pPr>
            <w:r>
              <w:rPr>
                <w:rStyle w:val="VerbatimChar"/>
              </w:rPr>
              <w:t xml:space="preserve">validate_l2_pptx.py</w:t>
            </w:r>
          </w:p>
        </w:tc>
        <w:tc>
          <w:p>
            <w:pPr>
              <w:pStyle w:val="Compact"/>
              <w:jc w:val="left"/>
            </w:pPr>
            <w:r>
              <w:t xml:space="preserve">L2 PPTX validator — mandatory gate 2</w:t>
            </w:r>
          </w:p>
        </w:tc>
      </w:tr>
      <w:tr>
        <w:tc>
          <w:p>
            <w:pPr>
              <w:pStyle w:val="Compact"/>
              <w:jc w:val="left"/>
            </w:pPr>
            <w:r>
              <w:rPr>
                <w:rStyle w:val="VerbatimChar"/>
              </w:rPr>
              <w:t xml:space="preserve">generate_l2_addendum.js</w:t>
            </w:r>
          </w:p>
        </w:tc>
        <w:tc>
          <w:p>
            <w:pPr>
              <w:pStyle w:val="Compact"/>
              <w:jc w:val="left"/>
            </w:pPr>
            <w:r>
              <w:t xml:space="preserve">Supplementary PPTX generator (KPIs, benefits, carbon/net zero)</w:t>
            </w:r>
          </w:p>
        </w:tc>
      </w:tr>
      <w:tr>
        <w:tc>
          <w:p>
            <w:pPr>
              <w:pStyle w:val="Compact"/>
              <w:jc w:val="left"/>
            </w:pPr>
            <w:r>
              <w:rPr>
                <w:rStyle w:val="VerbatimChar"/>
              </w:rPr>
              <w:t xml:space="preserve">generate_l2_html.js</w:t>
            </w:r>
          </w:p>
        </w:tc>
        <w:tc>
          <w:p>
            <w:pPr>
              <w:pStyle w:val="Compact"/>
              <w:jc w:val="left"/>
            </w:pPr>
            <w:r>
              <w:t xml:space="preserve">L2 HTML generator — stub, not yet implemented</w:t>
            </w:r>
          </w:p>
        </w:tc>
      </w:tr>
      <w:tr>
        <w:tc>
          <w:p>
            <w:pPr>
              <w:pStyle w:val="Compact"/>
              <w:jc w:val="left"/>
            </w:pPr>
            <w:r>
              <w:rPr>
                <w:rStyle w:val="VerbatimChar"/>
              </w:rPr>
              <w:t xml:space="preserve">validate_l2_html.js</w:t>
            </w:r>
          </w:p>
        </w:tc>
        <w:tc>
          <w:p>
            <w:pPr>
              <w:pStyle w:val="Compact"/>
              <w:jc w:val="left"/>
            </w:pPr>
            <w:r>
              <w:t xml:space="preserve">L2 HTML validator — stub, not yet implemented</w:t>
            </w:r>
          </w:p>
        </w:tc>
      </w:tr>
      <w:tr>
        <w:tc>
          <w:p>
            <w:pPr>
              <w:pStyle w:val="Compact"/>
              <w:jc w:val="left"/>
            </w:pPr>
            <w:r>
              <w:rPr>
                <w:rStyle w:val="VerbatimChar"/>
              </w:rPr>
              <w:t xml:space="preserve">L2_post_L3_agent_architecture_design.md</w:t>
            </w:r>
          </w:p>
        </w:tc>
        <w:tc>
          <w:p>
            <w:pPr>
              <w:pStyle w:val="Compact"/>
              <w:jc w:val="left"/>
            </w:pPr>
            <w:r>
              <w:t xml:space="preserve">Post-L3 workflow: build artefacts A–H</w:t>
            </w:r>
          </w:p>
        </w:tc>
      </w:tr>
      <w:tr>
        <w:tc>
          <w:p>
            <w:pPr>
              <w:pStyle w:val="Compact"/>
              <w:jc w:val="left"/>
            </w:pPr>
            <w:r>
              <w:rPr>
                <w:rStyle w:val="VerbatimChar"/>
              </w:rPr>
              <w:t xml:space="preserve">L2_post_L3_update_L2_outputs.md</w:t>
            </w:r>
          </w:p>
        </w:tc>
        <w:tc>
          <w:p>
            <w:pPr>
              <w:pStyle w:val="Compact"/>
              <w:jc w:val="left"/>
            </w:pPr>
            <w:r>
              <w:t xml:space="preserve">Post-L3 workflow: update L2 documents after artefact build</w:t>
            </w:r>
          </w:p>
        </w:tc>
      </w:tr>
      <w:tr>
        <w:tc>
          <w:p>
            <w:pPr>
              <w:pStyle w:val="Compact"/>
              <w:jc w:val="left"/>
            </w:pPr>
            <w:r>
              <w:rPr>
                <w:rStyle w:val="VerbatimChar"/>
              </w:rPr>
              <w:t xml:space="preserve">L2_process_design_agent_CHANGELOG.md</w:t>
            </w:r>
          </w:p>
        </w:tc>
        <w:tc>
          <w:p>
            <w:pPr>
              <w:pStyle w:val="Compact"/>
              <w:jc w:val="left"/>
            </w:pPr>
            <w:r>
              <w:t xml:space="preserve">L2 prompt version history</w:t>
            </w:r>
          </w:p>
        </w:tc>
      </w:tr>
    </w:tbl>
    <w:p>
      <w:pPr>
        <w:pStyle w:val="Heading3"/>
      </w:pPr>
      <w:bookmarkStart w:id="44" w:name="l3-tooling-promptsl3"/>
      <w:r>
        <w:t xml:space="preserve">6.3 L3 Tooling —</w:t>
      </w:r>
      <w:r>
        <w:t xml:space="preserve"> </w:t>
      </w:r>
      <w:r>
        <w:rPr>
          <w:rStyle w:val="VerbatimChar"/>
        </w:rPr>
        <w:t xml:space="preserve">Prompts/L3/</w:t>
      </w:r>
      <w:bookmarkEnd w:id="44"/>
    </w:p>
    <w:p>
      <w:pPr>
        <w:pStyle w:val="FirstParagraph"/>
      </w:pPr>
      <w:r>
        <w:t xml:space="preserve">Current version: V3.24. Session split protocol for ≥5 sub-processes. Four mandatory validators.</w:t>
      </w:r>
    </w:p>
    <w:tbl>
      <w:tblPr>
        <w:tblStyle w:val="TableGrid"/>
        <w:tblW w:type="pct" w:w="5000.0"/>
        <w:tblLook w:firstRow="1"/>
      </w:tblPr>
      <w:tblGrid>
        <w:gridCol w:w="3168"/>
        <w:gridCol w:w="4752"/>
      </w:tblGrid>
      <w:tr>
        <w:trPr>
          <w:cnfStyle w:firstRow="1"/>
        </w:trPr>
        <w:tc>
          <w:tcPr>
            <w:tcBorders>
              <w:bottom w:val="single"/>
            </w:tcBorders>
            <w:vAlign w:val="bottom"/>
            <w:shd w:val="clear" w:color="auto" w:fill="1B3A6B"/>
          </w:tcPr>
          <w:p>
            <w:pPr>
              <w:pStyle w:val="Compact"/>
              <w:jc w:val="left"/>
            </w:pPr>
            <w:r>
              <w:rPr>
                <w:b/>
                <w:color w:val="FFFFFF"/>
              </w:rPr>
              <w:t xml:space="preserve">File</w:t>
            </w:r>
          </w:p>
        </w:tc>
        <w:tc>
          <w:tcPr>
            <w:tcBorders>
              <w:bottom w:val="single"/>
            </w:tcBorders>
            <w:vAlign w:val="bottom"/>
            <w:shd w:val="clear" w:color="auto" w:fill="1B3A6B"/>
          </w:tcPr>
          <w:p>
            <w:pPr>
              <w:pStyle w:val="Compact"/>
              <w:jc w:val="left"/>
            </w:pPr>
            <w:r>
              <w:rPr>
                <w:b/>
                <w:color w:val="FFFFFF"/>
              </w:rPr>
              <w:t xml:space="preserve">Purpose</w:t>
            </w:r>
          </w:p>
        </w:tc>
      </w:tr>
      <w:tr>
        <w:tc>
          <w:p>
            <w:pPr>
              <w:pStyle w:val="Compact"/>
              <w:jc w:val="left"/>
            </w:pPr>
            <w:r>
              <w:rPr>
                <w:rStyle w:val="VerbatimChar"/>
              </w:rPr>
              <w:t xml:space="preserve">L3_process_design_agent_V3.md</w:t>
            </w:r>
          </w:p>
        </w:tc>
        <w:tc>
          <w:p>
            <w:pPr>
              <w:pStyle w:val="Compact"/>
              <w:jc w:val="left"/>
            </w:pPr>
            <w:r>
              <w:t xml:space="preserve">L3 process design prompt template</w:t>
            </w:r>
          </w:p>
        </w:tc>
      </w:tr>
      <w:tr>
        <w:tc>
          <w:p>
            <w:pPr>
              <w:pStyle w:val="Compact"/>
              <w:jc w:val="left"/>
            </w:pPr>
            <w:r>
              <w:rPr>
                <w:rStyle w:val="VerbatimChar"/>
              </w:rPr>
              <w:t xml:space="preserve">L3_state_design_framework.md</w:t>
            </w:r>
          </w:p>
        </w:tc>
        <w:tc>
          <w:p>
            <w:pPr>
              <w:pStyle w:val="Compact"/>
              <w:jc w:val="left"/>
            </w:pPr>
            <w:r>
              <w:t xml:space="preserve">Interim/Target State design methodology</w:t>
            </w:r>
          </w:p>
        </w:tc>
      </w:tr>
      <w:tr>
        <w:tc>
          <w:p>
            <w:pPr>
              <w:pStyle w:val="Compact"/>
              <w:jc w:val="left"/>
            </w:pPr>
            <w:r>
              <w:rPr>
                <w:rStyle w:val="VerbatimChar"/>
              </w:rPr>
              <w:t xml:space="preserve">L3_data.schema.json</w:t>
            </w:r>
          </w:p>
        </w:tc>
        <w:tc>
          <w:p>
            <w:pPr>
              <w:pStyle w:val="Compact"/>
              <w:jc w:val="left"/>
            </w:pPr>
            <w:r>
              <w:t xml:space="preserve">Formal JSON Schema (draft-07) for all</w:t>
            </w:r>
            <w:r>
              <w:t xml:space="preserve"> </w:t>
            </w:r>
            <w:r>
              <w:rPr>
                <w:rStyle w:val="VerbatimChar"/>
              </w:rPr>
              <w:t xml:space="preserve">*_L3_data.json</w:t>
            </w:r>
            <w:r>
              <w:t xml:space="preserve"> </w:t>
            </w:r>
            <w:r>
              <w:t xml:space="preserve">files</w:t>
            </w:r>
          </w:p>
        </w:tc>
      </w:tr>
      <w:tr>
        <w:tc>
          <w:p>
            <w:pPr>
              <w:pStyle w:val="Compact"/>
              <w:jc w:val="left"/>
            </w:pPr>
            <w:r>
              <w:rPr>
                <w:rStyle w:val="VerbatimChar"/>
              </w:rPr>
              <w:t xml:space="preserve">L3_Swimlane_Engine_v1.html</w:t>
            </w:r>
          </w:p>
        </w:tc>
        <w:tc>
          <w:p>
            <w:pPr>
              <w:pStyle w:val="Compact"/>
              <w:jc w:val="left"/>
            </w:pPr>
            <w:r>
              <w:t xml:space="preserve">Canonical swimlane rendering engine — do not modify</w:t>
            </w:r>
          </w:p>
        </w:tc>
      </w:tr>
      <w:tr>
        <w:tc>
          <w:p>
            <w:pPr>
              <w:pStyle w:val="Compact"/>
              <w:jc w:val="left"/>
            </w:pPr>
            <w:r>
              <w:rPr>
                <w:rStyle w:val="VerbatimChar"/>
              </w:rPr>
              <w:t xml:space="preserve">generate_l3_html.js</w:t>
            </w:r>
          </w:p>
        </w:tc>
        <w:tc>
          <w:p>
            <w:pPr>
              <w:pStyle w:val="Compact"/>
              <w:jc w:val="left"/>
            </w:pPr>
            <w:r>
              <w:t xml:space="preserve">HTML swimlane generator</w:t>
            </w:r>
          </w:p>
        </w:tc>
      </w:tr>
      <w:tr>
        <w:tc>
          <w:p>
            <w:pPr>
              <w:pStyle w:val="Compact"/>
              <w:jc w:val="left"/>
            </w:pPr>
            <w:r>
              <w:rPr>
                <w:rStyle w:val="VerbatimChar"/>
              </w:rPr>
              <w:t xml:space="preserve">validate_l3_html.js</w:t>
            </w:r>
          </w:p>
        </w:tc>
        <w:tc>
          <w:p>
            <w:pPr>
              <w:pStyle w:val="Compact"/>
              <w:jc w:val="left"/>
            </w:pPr>
            <w:r>
              <w:t xml:space="preserve">Post-generation validator (54 checks)</w:t>
            </w:r>
          </w:p>
        </w:tc>
      </w:tr>
      <w:tr>
        <w:tc>
          <w:p>
            <w:pPr>
              <w:pStyle w:val="Compact"/>
              <w:jc w:val="left"/>
            </w:pPr>
            <w:r>
              <w:rPr>
                <w:rStyle w:val="VerbatimChar"/>
              </w:rPr>
              <w:t xml:space="preserve">generate_l3_pptx.js</w:t>
            </w:r>
          </w:p>
        </w:tc>
        <w:tc>
          <w:p>
            <w:pPr>
              <w:pStyle w:val="Compact"/>
              <w:jc w:val="left"/>
            </w:pPr>
            <w:r>
              <w:t xml:space="preserve">PPTX generator</w:t>
            </w:r>
          </w:p>
        </w:tc>
      </w:tr>
      <w:tr>
        <w:tc>
          <w:p>
            <w:pPr>
              <w:pStyle w:val="Compact"/>
              <w:jc w:val="left"/>
            </w:pPr>
            <w:r>
              <w:rPr>
                <w:rStyle w:val="VerbatimChar"/>
              </w:rPr>
              <w:t xml:space="preserve">validate_l3_pptx.py</w:t>
            </w:r>
          </w:p>
        </w:tc>
        <w:tc>
          <w:p>
            <w:pPr>
              <w:pStyle w:val="Compact"/>
              <w:jc w:val="left"/>
            </w:pPr>
            <w:r>
              <w:t xml:space="preserve">PPTX validator</w:t>
            </w:r>
          </w:p>
        </w:tc>
      </w:tr>
      <w:tr>
        <w:tc>
          <w:p>
            <w:pPr>
              <w:pStyle w:val="Compact"/>
              <w:jc w:val="left"/>
            </w:pPr>
            <w:r>
              <w:rPr>
                <w:rStyle w:val="VerbatimChar"/>
              </w:rPr>
              <w:t xml:space="preserve">generate_l3_docx.js</w:t>
            </w:r>
          </w:p>
        </w:tc>
        <w:tc>
          <w:p>
            <w:pPr>
              <w:pStyle w:val="Compact"/>
              <w:jc w:val="left"/>
            </w:pPr>
            <w:r>
              <w:t xml:space="preserve">Word document generator — converts Phase 5 markdown to</w:t>
            </w:r>
            <w:r>
              <w:t xml:space="preserve"> </w:t>
            </w:r>
            <w:r>
              <w:rPr>
                <w:rStyle w:val="VerbatimChar"/>
              </w:rPr>
              <w:t xml:space="preserve">.docx</w:t>
            </w:r>
            <w:r>
              <w:t xml:space="preserve"> </w:t>
            </w:r>
            <w:r>
              <w:t xml:space="preserve">via pandoc</w:t>
            </w:r>
          </w:p>
        </w:tc>
      </w:tr>
      <w:tr>
        <w:tc>
          <w:p>
            <w:pPr>
              <w:pStyle w:val="Compact"/>
              <w:jc w:val="left"/>
            </w:pPr>
            <w:r>
              <w:rPr>
                <w:rStyle w:val="VerbatimChar"/>
              </w:rPr>
              <w:t xml:space="preserve">L3_process_design_agent_CHANGELOG.md</w:t>
            </w:r>
          </w:p>
        </w:tc>
        <w:tc>
          <w:p>
            <w:pPr>
              <w:pStyle w:val="Compact"/>
              <w:jc w:val="left"/>
            </w:pPr>
            <w:r>
              <w:t xml:space="preserve">Prompt version history and known failure modes</w:t>
            </w:r>
          </w:p>
        </w:tc>
      </w:tr>
    </w:tbl>
    <w:p>
      <w:pPr>
        <w:pStyle w:val="Heading3"/>
      </w:pPr>
      <w:bookmarkStart w:id="45" w:name="agent-architecture-tooling-promptsagent"/>
      <w:r>
        <w:t xml:space="preserve">6.4 Agent Architecture Tooling —</w:t>
      </w:r>
      <w:r>
        <w:t xml:space="preserve"> </w:t>
      </w:r>
      <w:r>
        <w:rPr>
          <w:rStyle w:val="VerbatimChar"/>
        </w:rPr>
        <w:t xml:space="preserve">Prompts/Agent/</w:t>
      </w:r>
      <w:bookmarkEnd w:id="45"/>
    </w:p>
    <w:p>
      <w:pPr>
        <w:pStyle w:val="FirstParagraph"/>
      </w:pPr>
      <w:r>
        <w:t xml:space="preserve">Current version: V1.2. Artefact set A–H. 23-check interaction diagram validator.</w:t>
      </w:r>
    </w:p>
    <w:tbl>
      <w:tblPr>
        <w:tblStyle w:val="TableGrid"/>
        <w:tblW w:type="pct" w:w="5000.0"/>
        <w:tblLook w:firstRow="1"/>
      </w:tblPr>
      <w:tblGrid>
        <w:gridCol w:w="3168"/>
        <w:gridCol w:w="4752"/>
      </w:tblGrid>
      <w:tr>
        <w:trPr>
          <w:cnfStyle w:firstRow="1"/>
        </w:trPr>
        <w:tc>
          <w:tcPr>
            <w:tcBorders>
              <w:bottom w:val="single"/>
            </w:tcBorders>
            <w:vAlign w:val="bottom"/>
            <w:shd w:val="clear" w:color="auto" w:fill="1B3A6B"/>
          </w:tcPr>
          <w:p>
            <w:pPr>
              <w:pStyle w:val="Compact"/>
              <w:jc w:val="left"/>
            </w:pPr>
            <w:r>
              <w:rPr>
                <w:b/>
                <w:color w:val="FFFFFF"/>
              </w:rPr>
              <w:t xml:space="preserve">File</w:t>
            </w:r>
          </w:p>
        </w:tc>
        <w:tc>
          <w:tcPr>
            <w:tcBorders>
              <w:bottom w:val="single"/>
            </w:tcBorders>
            <w:vAlign w:val="bottom"/>
            <w:shd w:val="clear" w:color="auto" w:fill="1B3A6B"/>
          </w:tcPr>
          <w:p>
            <w:pPr>
              <w:pStyle w:val="Compact"/>
              <w:jc w:val="left"/>
            </w:pPr>
            <w:r>
              <w:rPr>
                <w:b/>
                <w:color w:val="FFFFFF"/>
              </w:rPr>
              <w:t xml:space="preserve">Purpose</w:t>
            </w:r>
          </w:p>
        </w:tc>
      </w:tr>
      <w:tr>
        <w:tc>
          <w:p>
            <w:pPr>
              <w:pStyle w:val="Compact"/>
              <w:jc w:val="left"/>
            </w:pPr>
            <w:r>
              <w:rPr>
                <w:rStyle w:val="VerbatimChar"/>
              </w:rPr>
              <w:t xml:space="preserve">Agent_design_framework.md</w:t>
            </w:r>
          </w:p>
        </w:tc>
        <w:tc>
          <w:p>
            <w:pPr>
              <w:pStyle w:val="Compact"/>
              <w:jc w:val="left"/>
            </w:pPr>
            <w:r>
              <w:t xml:space="preserve">Methodology reference — tier model, naming conventions, visual standards, design principles, record schemas, artefact set A–H</w:t>
            </w:r>
          </w:p>
        </w:tc>
      </w:tr>
      <w:tr>
        <w:tc>
          <w:p>
            <w:pPr>
              <w:pStyle w:val="Compact"/>
              <w:jc w:val="left"/>
            </w:pPr>
            <w:r>
              <w:rPr>
                <w:rStyle w:val="VerbatimChar"/>
              </w:rPr>
              <w:t xml:space="preserve">D2C_worked_example.md</w:t>
            </w:r>
          </w:p>
        </w:tc>
        <w:tc>
          <w:p>
            <w:pPr>
              <w:pStyle w:val="Compact"/>
              <w:jc w:val="left"/>
            </w:pPr>
            <w:r>
              <w:t xml:space="preserve">Concrete D2C illustrations of every concept in</w:t>
            </w:r>
            <w:r>
              <w:t xml:space="preserve"> </w:t>
            </w:r>
            <w:r>
              <w:rPr>
                <w:rStyle w:val="VerbatimChar"/>
              </w:rPr>
              <w:t xml:space="preserve">Agent_design_framework.md</w:t>
            </w:r>
          </w:p>
        </w:tc>
      </w:tr>
      <w:tr>
        <w:tc>
          <w:p>
            <w:pPr>
              <w:pStyle w:val="Compact"/>
              <w:jc w:val="left"/>
            </w:pPr>
            <w:r>
              <w:rPr>
                <w:rStyle w:val="VerbatimChar"/>
              </w:rPr>
              <w:t xml:space="preserve">Interaction_Diagram_Engine_v1.html</w:t>
            </w:r>
          </w:p>
        </w:tc>
        <w:tc>
          <w:p>
            <w:pPr>
              <w:pStyle w:val="Compact"/>
              <w:jc w:val="left"/>
            </w:pPr>
            <w:r>
              <w:t xml:space="preserve">Canonical agent interaction diagram rendering engine — do not modify</w:t>
            </w:r>
          </w:p>
        </w:tc>
      </w:tr>
      <w:tr>
        <w:tc>
          <w:p>
            <w:pPr>
              <w:pStyle w:val="Compact"/>
              <w:jc w:val="left"/>
            </w:pPr>
            <w:r>
              <w:rPr>
                <w:rStyle w:val="VerbatimChar"/>
              </w:rPr>
              <w:t xml:space="preserve">generate_interaction_diagrams.js</w:t>
            </w:r>
          </w:p>
        </w:tc>
        <w:tc>
          <w:p>
            <w:pPr>
              <w:pStyle w:val="Compact"/>
              <w:jc w:val="left"/>
            </w:pPr>
            <w:r>
              <w:t xml:space="preserve">Agent interaction diagram generator</w:t>
            </w:r>
          </w:p>
        </w:tc>
      </w:tr>
      <w:tr>
        <w:tc>
          <w:p>
            <w:pPr>
              <w:pStyle w:val="Compact"/>
              <w:jc w:val="left"/>
            </w:pPr>
            <w:r>
              <w:rPr>
                <w:rStyle w:val="VerbatimChar"/>
              </w:rPr>
              <w:t xml:space="preserve">validate_interaction_diagrams.js</w:t>
            </w:r>
          </w:p>
        </w:tc>
        <w:tc>
          <w:p>
            <w:pPr>
              <w:pStyle w:val="Compact"/>
              <w:jc w:val="left"/>
            </w:pPr>
            <w:r>
              <w:t xml:space="preserve">Post-generation validator (V01–V23, 23 checks)</w:t>
            </w:r>
          </w:p>
        </w:tc>
      </w:tr>
    </w:tbl>
    <w:p>
      <w:pPr>
        <w:pStyle w:val="Heading3"/>
      </w:pPr>
      <w:bookmarkStart w:id="46" w:name="Xb882a0749cd9194cb0cbc1f8fc6d125c54c3793"/>
      <w:r>
        <w:t xml:space="preserve">6.5 Control Plane Tooling —</w:t>
      </w:r>
      <w:r>
        <w:t xml:space="preserve"> </w:t>
      </w:r>
      <w:r>
        <w:rPr>
          <w:rStyle w:val="VerbatimChar"/>
        </w:rPr>
        <w:t xml:space="preserve">Prompts/ControlPlane/</w:t>
      </w:r>
      <w:bookmarkEnd w:id="46"/>
    </w:p>
    <w:p>
      <w:pPr>
        <w:pStyle w:val="FirstParagraph"/>
      </w:pPr>
      <w:r>
        <w:t xml:space="preserve">Current version: V1.0. Five-layer model. Framework-level document in</w:t>
      </w:r>
      <w:r>
        <w:t xml:space="preserve"> </w:t>
      </w:r>
      <w:r>
        <w:rPr>
          <w:rStyle w:val="VerbatimChar"/>
        </w:rPr>
        <w:t xml:space="preserve">[FRAMEWORK_ROOT]/ControlPlane/</w:t>
      </w:r>
      <w:r>
        <w:t xml:space="preserve">.</w:t>
      </w:r>
    </w:p>
    <w:tbl>
      <w:tblPr>
        <w:tblStyle w:val="TableGrid"/>
        <w:tblW w:type="pct" w:w="5000.0"/>
        <w:tblLook w:firstRow="1"/>
      </w:tblPr>
      <w:tblGrid>
        <w:gridCol w:w="3168"/>
        <w:gridCol w:w="4752"/>
      </w:tblGrid>
      <w:tr>
        <w:trPr>
          <w:cnfStyle w:firstRow="1"/>
        </w:trPr>
        <w:tc>
          <w:tcPr>
            <w:tcBorders>
              <w:bottom w:val="single"/>
            </w:tcBorders>
            <w:vAlign w:val="bottom"/>
            <w:shd w:val="clear" w:color="auto" w:fill="1B3A6B"/>
          </w:tcPr>
          <w:p>
            <w:pPr>
              <w:pStyle w:val="Compact"/>
              <w:jc w:val="left"/>
            </w:pPr>
            <w:r>
              <w:rPr>
                <w:b/>
                <w:color w:val="FFFFFF"/>
              </w:rPr>
              <w:t xml:space="preserve">File</w:t>
            </w:r>
          </w:p>
        </w:tc>
        <w:tc>
          <w:tcPr>
            <w:tcBorders>
              <w:bottom w:val="single"/>
            </w:tcBorders>
            <w:vAlign w:val="bottom"/>
            <w:shd w:val="clear" w:color="auto" w:fill="1B3A6B"/>
          </w:tcPr>
          <w:p>
            <w:pPr>
              <w:pStyle w:val="Compact"/>
              <w:jc w:val="left"/>
            </w:pPr>
            <w:r>
              <w:rPr>
                <w:b/>
                <w:color w:val="FFFFFF"/>
              </w:rPr>
              <w:t xml:space="preserve">Purpose</w:t>
            </w:r>
          </w:p>
        </w:tc>
      </w:tr>
      <w:tr>
        <w:tc>
          <w:p>
            <w:pPr>
              <w:pStyle w:val="Compact"/>
              <w:jc w:val="left"/>
            </w:pPr>
            <w:r>
              <w:rPr>
                <w:rStyle w:val="VerbatimChar"/>
              </w:rPr>
              <w:t xml:space="preserve">AIF_ControlPlane_design_framework.md</w:t>
            </w:r>
          </w:p>
        </w:tc>
        <w:tc>
          <w:p>
            <w:pPr>
              <w:pStyle w:val="Compact"/>
              <w:jc w:val="left"/>
            </w:pPr>
            <w:r>
              <w:t xml:space="preserve">AIF-level Control Plane methodology — five-layer model, design principles, design tests, framework-level document specification</w:t>
            </w:r>
          </w:p>
        </w:tc>
      </w:tr>
      <w:tr>
        <w:tc>
          <w:p>
            <w:pPr>
              <w:pStyle w:val="Compact"/>
              <w:jc w:val="left"/>
            </w:pPr>
            <w:r>
              <w:rPr>
                <w:rStyle w:val="VerbatimChar"/>
              </w:rPr>
              <w:t xml:space="preserve">ControlPlane_CHANGELOG.md</w:t>
            </w:r>
          </w:p>
        </w:tc>
        <w:tc>
          <w:p>
            <w:pPr>
              <w:pStyle w:val="Compact"/>
              <w:jc w:val="left"/>
            </w:pPr>
            <w:r>
              <w:t xml:space="preserve">Version history for all files in</w:t>
            </w:r>
            <w:r>
              <w:t xml:space="preserve"> </w:t>
            </w:r>
            <w:r>
              <w:rPr>
                <w:rStyle w:val="VerbatimChar"/>
              </w:rPr>
              <w:t xml:space="preserve">Prompts/ControlPlane/</w:t>
            </w:r>
          </w:p>
        </w:tc>
      </w:tr>
    </w:tbl>
    <w:p>
      <w:pPr>
        <w:pStyle w:val="Heading3"/>
      </w:pPr>
      <w:bookmarkStart w:id="47" w:name="raise-tooling-promptsraise"/>
      <w:r>
        <w:t xml:space="preserve">6.6 RAISE Tooling —</w:t>
      </w:r>
      <w:r>
        <w:t xml:space="preserve"> </w:t>
      </w:r>
      <w:r>
        <w:rPr>
          <w:rStyle w:val="VerbatimChar"/>
        </w:rPr>
        <w:t xml:space="preserve">Prompts/RAISE/</w:t>
      </w:r>
      <w:bookmarkEnd w:id="47"/>
    </w:p>
    <w:p>
      <w:pPr>
        <w:pStyle w:val="FirstParagraph"/>
      </w:pPr>
      <w:r>
        <w:t xml:space="preserve">Current version: v1.2. Four-step gate sequence. Maps framework agent architecture onto RAISE Agent Builder palette.</w:t>
      </w:r>
    </w:p>
    <w:tbl>
      <w:tblPr>
        <w:tblStyle w:val="TableGrid"/>
        <w:tblW w:type="pct" w:w="5000.0"/>
        <w:tblLook w:firstRow="1"/>
      </w:tblPr>
      <w:tblGrid>
        <w:gridCol w:w="3168"/>
        <w:gridCol w:w="4752"/>
      </w:tblGrid>
      <w:tr>
        <w:trPr>
          <w:cnfStyle w:firstRow="1"/>
        </w:trPr>
        <w:tc>
          <w:tcPr>
            <w:tcBorders>
              <w:bottom w:val="single"/>
            </w:tcBorders>
            <w:vAlign w:val="bottom"/>
            <w:shd w:val="clear" w:color="auto" w:fill="1B3A6B"/>
          </w:tcPr>
          <w:p>
            <w:pPr>
              <w:pStyle w:val="Compact"/>
              <w:jc w:val="left"/>
            </w:pPr>
            <w:r>
              <w:rPr>
                <w:b/>
                <w:color w:val="FFFFFF"/>
              </w:rPr>
              <w:t xml:space="preserve">File</w:t>
            </w:r>
          </w:p>
        </w:tc>
        <w:tc>
          <w:tcPr>
            <w:tcBorders>
              <w:bottom w:val="single"/>
            </w:tcBorders>
            <w:vAlign w:val="bottom"/>
            <w:shd w:val="clear" w:color="auto" w:fill="1B3A6B"/>
          </w:tcPr>
          <w:p>
            <w:pPr>
              <w:pStyle w:val="Compact"/>
              <w:jc w:val="left"/>
            </w:pPr>
            <w:r>
              <w:rPr>
                <w:b/>
                <w:color w:val="FFFFFF"/>
              </w:rPr>
              <w:t xml:space="preserve">Purpose</w:t>
            </w:r>
          </w:p>
        </w:tc>
      </w:tr>
      <w:tr>
        <w:tc>
          <w:p>
            <w:pPr>
              <w:pStyle w:val="Compact"/>
              <w:jc w:val="left"/>
            </w:pPr>
            <w:r>
              <w:rPr>
                <w:rStyle w:val="VerbatimChar"/>
              </w:rPr>
              <w:t xml:space="preserve">RAISE_generation_agent.md</w:t>
            </w:r>
          </w:p>
        </w:tc>
        <w:tc>
          <w:p>
            <w:pPr>
              <w:pStyle w:val="Compact"/>
              <w:jc w:val="left"/>
            </w:pPr>
            <w:r>
              <w:t xml:space="preserve">7-phase generation prompt — reads framework data files, produces intermediate JSON</w:t>
            </w:r>
          </w:p>
        </w:tc>
      </w:tr>
      <w:tr>
        <w:tc>
          <w:p>
            <w:pPr>
              <w:pStyle w:val="Compact"/>
              <w:jc w:val="left"/>
            </w:pPr>
            <w:r>
              <w:rPr>
                <w:rStyle w:val="VerbatimChar"/>
              </w:rPr>
              <w:t xml:space="preserve">RAISE_config.json</w:t>
            </w:r>
          </w:p>
        </w:tc>
        <w:tc>
          <w:p>
            <w:pPr>
              <w:pStyle w:val="Compact"/>
              <w:jc w:val="left"/>
            </w:pPr>
            <w:r>
              <w:t xml:space="preserve">RAISE platform configuration: palette types, canvas rules, API naming, signal patterns</w:t>
            </w:r>
          </w:p>
        </w:tc>
      </w:tr>
      <w:tr>
        <w:tc>
          <w:p>
            <w:pPr>
              <w:pStyle w:val="Compact"/>
              <w:jc w:val="left"/>
            </w:pPr>
            <w:r>
              <w:rPr>
                <w:rStyle w:val="VerbatimChar"/>
              </w:rPr>
              <w:t xml:space="preserve">RAISE_data.schema.json</w:t>
            </w:r>
          </w:p>
        </w:tc>
        <w:tc>
          <w:p>
            <w:pPr>
              <w:pStyle w:val="Compact"/>
              <w:jc w:val="left"/>
            </w:pPr>
            <w:r>
              <w:t xml:space="preserve">JSON Schema (draft-07) for the intermediate data file</w:t>
            </w:r>
          </w:p>
        </w:tc>
      </w:tr>
      <w:tr>
        <w:tc>
          <w:p>
            <w:pPr>
              <w:pStyle w:val="Compact"/>
              <w:jc w:val="left"/>
            </w:pPr>
            <w:r>
              <w:rPr>
                <w:rStyle w:val="VerbatimChar"/>
              </w:rPr>
              <w:t xml:space="preserve">validate_raise_json.js</w:t>
            </w:r>
          </w:p>
        </w:tc>
        <w:tc>
          <w:p>
            <w:pPr>
              <w:pStyle w:val="Compact"/>
              <w:jc w:val="left"/>
            </w:pPr>
            <w:r>
              <w:t xml:space="preserve">Gate 1: 22-check JSON validator</w:t>
            </w:r>
          </w:p>
        </w:tc>
      </w:tr>
      <w:tr>
        <w:tc>
          <w:p>
            <w:pPr>
              <w:pStyle w:val="Compact"/>
              <w:jc w:val="left"/>
            </w:pPr>
            <w:r>
              <w:rPr>
                <w:rStyle w:val="VerbatimChar"/>
              </w:rPr>
              <w:t xml:space="preserve">generate_raise_docx.py</w:t>
            </w:r>
          </w:p>
        </w:tc>
        <w:tc>
          <w:p>
            <w:pPr>
              <w:pStyle w:val="Compact"/>
              <w:jc w:val="left"/>
            </w:pPr>
            <w:r>
              <w:t xml:space="preserve">DOCX generator — reads JSON, produces three-part configuration document</w:t>
            </w:r>
          </w:p>
        </w:tc>
      </w:tr>
      <w:tr>
        <w:tc>
          <w:p>
            <w:pPr>
              <w:pStyle w:val="Compact"/>
              <w:jc w:val="left"/>
            </w:pPr>
            <w:r>
              <w:rPr>
                <w:rStyle w:val="VerbatimChar"/>
              </w:rPr>
              <w:t xml:space="preserve">validate_raise_docx.py</w:t>
            </w:r>
          </w:p>
        </w:tc>
        <w:tc>
          <w:p>
            <w:pPr>
              <w:pStyle w:val="Compact"/>
              <w:jc w:val="left"/>
            </w:pPr>
            <w:r>
              <w:t xml:space="preserve">Gate 2: 15-check DOCX validator</w:t>
            </w:r>
          </w:p>
        </w:tc>
      </w:tr>
      <w:tr>
        <w:tc>
          <w:p>
            <w:pPr>
              <w:pStyle w:val="Compact"/>
              <w:jc w:val="left"/>
            </w:pPr>
            <w:r>
              <w:rPr>
                <w:rStyle w:val="VerbatimChar"/>
              </w:rPr>
              <w:t xml:space="preserve">RAISE_generation_agent_CHANGELOG.md</w:t>
            </w:r>
          </w:p>
        </w:tc>
        <w:tc>
          <w:p>
            <w:pPr>
              <w:pStyle w:val="Compact"/>
              <w:jc w:val="left"/>
            </w:pPr>
            <w:r>
              <w:t xml:space="preserve">Version history</w:t>
            </w:r>
          </w:p>
        </w:tc>
      </w:tr>
    </w:tbl>
    <w:p>
      <w:pPr>
        <w:pStyle w:val="Heading3"/>
      </w:pPr>
      <w:bookmarkStart w:id="48" w:name="infographic-tooling-promptsinfographic"/>
      <w:r>
        <w:t xml:space="preserve">6.7 Infographic Tooling —</w:t>
      </w:r>
      <w:r>
        <w:t xml:space="preserve"> </w:t>
      </w:r>
      <w:r>
        <w:rPr>
          <w:rStyle w:val="VerbatimChar"/>
        </w:rPr>
        <w:t xml:space="preserve">Prompts/Infographic/</w:t>
      </w:r>
      <w:bookmarkEnd w:id="48"/>
    </w:p>
    <w:p>
      <w:pPr>
        <w:pStyle w:val="FirstParagraph"/>
      </w:pPr>
      <w:r>
        <w:t xml:space="preserve">Produces a framework-level summary infographic. Four-step pipeline; PDF must always be generated from HTML output — never directly.</w:t>
      </w:r>
    </w:p>
    <w:tbl>
      <w:tblPr>
        <w:tblStyle w:val="TableGrid"/>
        <w:tblW w:type="pct" w:w="5000.0"/>
        <w:tblLook w:firstRow="1"/>
      </w:tblPr>
      <w:tblGrid>
        <w:gridCol w:w="3168"/>
        <w:gridCol w:w="4752"/>
      </w:tblGrid>
      <w:tr>
        <w:trPr>
          <w:cnfStyle w:firstRow="1"/>
        </w:trPr>
        <w:tc>
          <w:tcPr>
            <w:tcBorders>
              <w:bottom w:val="single"/>
            </w:tcBorders>
            <w:vAlign w:val="bottom"/>
            <w:shd w:val="clear" w:color="auto" w:fill="1B3A6B"/>
          </w:tcPr>
          <w:p>
            <w:pPr>
              <w:pStyle w:val="Compact"/>
              <w:jc w:val="left"/>
            </w:pPr>
            <w:r>
              <w:rPr>
                <w:b/>
                <w:color w:val="FFFFFF"/>
              </w:rPr>
              <w:t xml:space="preserve">File</w:t>
            </w:r>
          </w:p>
        </w:tc>
        <w:tc>
          <w:tcPr>
            <w:tcBorders>
              <w:bottom w:val="single"/>
            </w:tcBorders>
            <w:vAlign w:val="bottom"/>
            <w:shd w:val="clear" w:color="auto" w:fill="1B3A6B"/>
          </w:tcPr>
          <w:p>
            <w:pPr>
              <w:pStyle w:val="Compact"/>
              <w:jc w:val="left"/>
            </w:pPr>
            <w:r>
              <w:rPr>
                <w:b/>
                <w:color w:val="FFFFFF"/>
              </w:rPr>
              <w:t xml:space="preserve">Purpose</w:t>
            </w:r>
          </w:p>
        </w:tc>
      </w:tr>
      <w:tr>
        <w:tc>
          <w:p>
            <w:pPr>
              <w:pStyle w:val="Compact"/>
              <w:jc w:val="left"/>
            </w:pPr>
            <w:r>
              <w:rPr>
                <w:rStyle w:val="VerbatimChar"/>
              </w:rPr>
              <w:t xml:space="preserve">Infographic_Agent.md</w:t>
            </w:r>
          </w:p>
        </w:tc>
        <w:tc>
          <w:p>
            <w:pPr>
              <w:pStyle w:val="Compact"/>
              <w:jc w:val="left"/>
            </w:pPr>
            <w:r>
              <w:t xml:space="preserve">7-phase generation prompt — scans framework, extracts metrics, produces manifest JSON</w:t>
            </w:r>
          </w:p>
        </w:tc>
      </w:tr>
      <w:tr>
        <w:tc>
          <w:p>
            <w:pPr>
              <w:pStyle w:val="Compact"/>
              <w:jc w:val="left"/>
            </w:pPr>
            <w:r>
              <w:rPr>
                <w:rStyle w:val="VerbatimChar"/>
              </w:rPr>
              <w:t xml:space="preserve">infographic_template.html</w:t>
            </w:r>
          </w:p>
        </w:tc>
        <w:tc>
          <w:p>
            <w:pPr>
              <w:pStyle w:val="Compact"/>
              <w:jc w:val="left"/>
            </w:pPr>
            <w:r>
              <w:t xml:space="preserve">Jinja2 HTML template — Capgemini brand tokens frozen</w:t>
            </w:r>
          </w:p>
        </w:tc>
      </w:tr>
      <w:tr>
        <w:tc>
          <w:p>
            <w:pPr>
              <w:pStyle w:val="Compact"/>
              <w:jc w:val="left"/>
            </w:pPr>
            <w:r>
              <w:rPr>
                <w:rStyle w:val="VerbatimChar"/>
              </w:rPr>
              <w:t xml:space="preserve">generate_infographic_html.py</w:t>
            </w:r>
          </w:p>
        </w:tc>
        <w:tc>
          <w:p>
            <w:pPr>
              <w:pStyle w:val="Compact"/>
              <w:jc w:val="left"/>
            </w:pPr>
            <w:r>
              <w:t xml:space="preserve">HTML generator — renders template from manifest JSON</w:t>
            </w:r>
          </w:p>
        </w:tc>
      </w:tr>
      <w:tr>
        <w:tc>
          <w:p>
            <w:pPr>
              <w:pStyle w:val="Compact"/>
              <w:jc w:val="left"/>
            </w:pPr>
            <w:r>
              <w:rPr>
                <w:rStyle w:val="VerbatimChar"/>
              </w:rPr>
              <w:t xml:space="preserve">generate_infographic_pptx.js</w:t>
            </w:r>
          </w:p>
        </w:tc>
        <w:tc>
          <w:p>
            <w:pPr>
              <w:pStyle w:val="Compact"/>
              <w:jc w:val="left"/>
            </w:pPr>
            <w:r>
              <w:t xml:space="preserve">PPTX generator — 2-slide 16:9 Capgemini-branded summary deck</w:t>
            </w:r>
          </w:p>
        </w:tc>
      </w:tr>
      <w:tr>
        <w:tc>
          <w:p>
            <w:pPr>
              <w:pStyle w:val="Compact"/>
              <w:jc w:val="left"/>
            </w:pPr>
            <w:r>
              <w:rPr>
                <w:rStyle w:val="VerbatimChar"/>
              </w:rPr>
              <w:t xml:space="preserve">generate_infographic_pdf.py</w:t>
            </w:r>
          </w:p>
        </w:tc>
        <w:tc>
          <w:p>
            <w:pPr>
              <w:pStyle w:val="Compact"/>
              <w:jc w:val="left"/>
            </w:pPr>
            <w:r>
              <w:t xml:space="preserve">PDF generator — HTML → A4 PDF via weasyprint; only permitted PDF route</w:t>
            </w:r>
          </w:p>
        </w:tc>
      </w:tr>
    </w:tbl>
    <w:p>
      <w:pPr>
        <w:pStyle w:val="Heading3"/>
      </w:pPr>
      <w:bookmarkStart w:id="49" w:name="explorer-tooling-promptsexplorer"/>
      <w:r>
        <w:t xml:space="preserve">6.8 Explorer Tooling —</w:t>
      </w:r>
      <w:r>
        <w:t xml:space="preserve"> </w:t>
      </w:r>
      <w:r>
        <w:rPr>
          <w:rStyle w:val="VerbatimChar"/>
        </w:rPr>
        <w:t xml:space="preserve">Prompts/Explorer/</w:t>
      </w:r>
      <w:bookmarkEnd w:id="49"/>
    </w:p>
    <w:p>
      <w:pPr>
        <w:pStyle w:val="FirstParagraph"/>
      </w:pPr>
      <w:r>
        <w:t xml:space="preserve">Current version: v1.2. Produces the Framework Explorer — a single-file, fully self-contained HTML repository of a framework’s deliverables. Four-step pipeline; internal builds must not be distributed externally.</w:t>
      </w:r>
    </w:p>
    <w:tbl>
      <w:tblPr>
        <w:tblStyle w:val="TableGrid"/>
        <w:tblW w:type="pct" w:w="5000.0"/>
        <w:tblLook w:firstRow="1"/>
      </w:tblPr>
      <w:tblGrid>
        <w:gridCol w:w="3168"/>
        <w:gridCol w:w="4752"/>
      </w:tblGrid>
      <w:tr>
        <w:trPr>
          <w:cnfStyle w:firstRow="1"/>
        </w:trPr>
        <w:tc>
          <w:tcPr>
            <w:tcBorders>
              <w:bottom w:val="single"/>
            </w:tcBorders>
            <w:vAlign w:val="bottom"/>
            <w:shd w:val="clear" w:color="auto" w:fill="1B3A6B"/>
          </w:tcPr>
          <w:p>
            <w:pPr>
              <w:pStyle w:val="Compact"/>
              <w:jc w:val="left"/>
            </w:pPr>
            <w:r>
              <w:rPr>
                <w:b/>
                <w:color w:val="FFFFFF"/>
              </w:rPr>
              <w:t xml:space="preserve">File</w:t>
            </w:r>
          </w:p>
        </w:tc>
        <w:tc>
          <w:tcPr>
            <w:tcBorders>
              <w:bottom w:val="single"/>
            </w:tcBorders>
            <w:vAlign w:val="bottom"/>
            <w:shd w:val="clear" w:color="auto" w:fill="1B3A6B"/>
          </w:tcPr>
          <w:p>
            <w:pPr>
              <w:pStyle w:val="Compact"/>
              <w:jc w:val="left"/>
            </w:pPr>
            <w:r>
              <w:rPr>
                <w:b/>
                <w:color w:val="FFFFFF"/>
              </w:rPr>
              <w:t xml:space="preserve">Purpose</w:t>
            </w:r>
          </w:p>
        </w:tc>
      </w:tr>
      <w:tr>
        <w:tc>
          <w:p>
            <w:pPr>
              <w:pStyle w:val="Compact"/>
              <w:jc w:val="left"/>
            </w:pPr>
            <w:r>
              <w:rPr>
                <w:rStyle w:val="VerbatimChar"/>
              </w:rPr>
              <w:t xml:space="preserve">Explorer_design_framework.md</w:t>
            </w:r>
          </w:p>
        </w:tc>
        <w:tc>
          <w:p>
            <w:pPr>
              <w:pStyle w:val="Compact"/>
              <w:jc w:val="left"/>
            </w:pPr>
            <w:r>
              <w:t xml:space="preserve">Methodology companion — IA, level semantics, content rules, modes, skin</w:t>
            </w:r>
          </w:p>
        </w:tc>
      </w:tr>
      <w:tr>
        <w:tc>
          <w:p>
            <w:pPr>
              <w:pStyle w:val="Compact"/>
              <w:jc w:val="left"/>
            </w:pPr>
            <w:r>
              <w:rPr>
                <w:rStyle w:val="VerbatimChar"/>
              </w:rPr>
              <w:t xml:space="preserve">Explorer_generation_agent.md</w:t>
            </w:r>
          </w:p>
        </w:tc>
        <w:tc>
          <w:p>
            <w:pPr>
              <w:pStyle w:val="Compact"/>
              <w:jc w:val="left"/>
            </w:pPr>
            <w:r>
              <w:t xml:space="preserve">Runbook: when to run, gate sequence, irregularity handling</w:t>
            </w:r>
          </w:p>
        </w:tc>
      </w:tr>
      <w:tr>
        <w:tc>
          <w:p>
            <w:pPr>
              <w:pStyle w:val="Compact"/>
              <w:jc w:val="left"/>
            </w:pPr>
            <w:r>
              <w:rPr>
                <w:rStyle w:val="VerbatimChar"/>
              </w:rPr>
              <w:t xml:space="preserve">explorer_config.json</w:t>
            </w:r>
          </w:p>
        </w:tc>
        <w:tc>
          <w:p>
            <w:pPr>
              <w:pStyle w:val="Compact"/>
              <w:jc w:val="left"/>
            </w:pPr>
            <w:r>
              <w:t xml:space="preserve">Shared config: file-pattern registry, inclusion rules, skin tokens, modes</w:t>
            </w:r>
          </w:p>
        </w:tc>
      </w:tr>
      <w:tr>
        <w:tc>
          <w:p>
            <w:pPr>
              <w:pStyle w:val="Compact"/>
              <w:jc w:val="left"/>
            </w:pPr>
            <w:r>
              <w:rPr>
                <w:rStyle w:val="VerbatimChar"/>
              </w:rPr>
              <w:t xml:space="preserve">build_explorer_manifest.py</w:t>
            </w:r>
          </w:p>
        </w:tc>
        <w:tc>
          <w:p>
            <w:pPr>
              <w:pStyle w:val="Compact"/>
              <w:jc w:val="left"/>
            </w:pPr>
            <w:r>
              <w:t xml:space="preserve">Manifest extractor — scaffolds</w:t>
            </w:r>
            <w:r>
              <w:t xml:space="preserve"> </w:t>
            </w:r>
            <w:r>
              <w:rPr>
                <w:rStyle w:val="VerbatimChar"/>
              </w:rPr>
              <w:t xml:space="preserve">explorer_framework_config.json</w:t>
            </w:r>
            <w:r>
              <w:t xml:space="preserve"> </w:t>
            </w:r>
            <w:r>
              <w:t xml:space="preserve">on first run</w:t>
            </w:r>
          </w:p>
        </w:tc>
      </w:tr>
      <w:tr>
        <w:tc>
          <w:p>
            <w:pPr>
              <w:pStyle w:val="Compact"/>
              <w:jc w:val="left"/>
            </w:pPr>
            <w:r>
              <w:rPr>
                <w:rStyle w:val="VerbatimChar"/>
              </w:rPr>
              <w:t xml:space="preserve">Explorer_manifest.schema.json</w:t>
            </w:r>
          </w:p>
        </w:tc>
        <w:tc>
          <w:p>
            <w:pPr>
              <w:pStyle w:val="Compact"/>
              <w:jc w:val="left"/>
            </w:pPr>
            <w:r>
              <w:t xml:space="preserve">Manifest schema (draft-07)</w:t>
            </w:r>
          </w:p>
        </w:tc>
      </w:tr>
      <w:tr>
        <w:tc>
          <w:p>
            <w:pPr>
              <w:pStyle w:val="Compact"/>
              <w:jc w:val="left"/>
            </w:pPr>
            <w:r>
              <w:rPr>
                <w:rStyle w:val="VerbatimChar"/>
              </w:rPr>
              <w:t xml:space="preserve">validate_explorer_manifest.py</w:t>
            </w:r>
          </w:p>
        </w:tc>
        <w:tc>
          <w:p>
            <w:pPr>
              <w:pStyle w:val="Compact"/>
              <w:jc w:val="left"/>
            </w:pPr>
            <w:r>
              <w:t xml:space="preserve">Gate 1 validator (M1–M12 + dangling-reference warnings)</w:t>
            </w:r>
          </w:p>
        </w:tc>
      </w:tr>
      <w:tr>
        <w:tc>
          <w:p>
            <w:pPr>
              <w:pStyle w:val="Compact"/>
              <w:jc w:val="left"/>
            </w:pPr>
            <w:r>
              <w:rPr>
                <w:rStyle w:val="VerbatimChar"/>
              </w:rPr>
              <w:t xml:space="preserve">generate_explorer_html.py</w:t>
            </w:r>
          </w:p>
        </w:tc>
        <w:tc>
          <w:p>
            <w:pPr>
              <w:pStyle w:val="Compact"/>
              <w:jc w:val="left"/>
            </w:pPr>
            <w:r>
              <w:t xml:space="preserve">Manifest-driven single-file HTML generator; client mode excludes internal-only docs</w:t>
            </w:r>
          </w:p>
        </w:tc>
      </w:tr>
      <w:tr>
        <w:tc>
          <w:p>
            <w:pPr>
              <w:pStyle w:val="Compact"/>
              <w:jc w:val="left"/>
            </w:pPr>
            <w:r>
              <w:rPr>
                <w:rStyle w:val="VerbatimChar"/>
              </w:rPr>
              <w:t xml:space="preserve">validate_explorer_html.py</w:t>
            </w:r>
          </w:p>
        </w:tc>
        <w:tc>
          <w:p>
            <w:pPr>
              <w:pStyle w:val="Compact"/>
              <w:jc w:val="left"/>
            </w:pPr>
            <w:r>
              <w:t xml:space="preserve">Gate 2 validator (H1–H10)</w:t>
            </w:r>
          </w:p>
        </w:tc>
      </w:tr>
      <w:tr>
        <w:tc>
          <w:p>
            <w:pPr>
              <w:pStyle w:val="Compact"/>
              <w:jc w:val="left"/>
            </w:pPr>
            <w:r>
              <w:rPr>
                <w:rStyle w:val="VerbatimChar"/>
              </w:rPr>
              <w:t xml:space="preserve">bundle_explorer_zip.py</w:t>
            </w:r>
          </w:p>
        </w:tc>
        <w:tc>
          <w:p>
            <w:pPr>
              <w:pStyle w:val="Compact"/>
              <w:jc w:val="left"/>
            </w:pPr>
            <w:r>
              <w:t xml:space="preserve">Distribution zip bundler</w:t>
            </w:r>
          </w:p>
        </w:tc>
      </w:tr>
      <w:tr>
        <w:tc>
          <w:p>
            <w:pPr>
              <w:pStyle w:val="Compact"/>
              <w:jc w:val="left"/>
            </w:pPr>
            <w:r>
              <w:rPr>
                <w:rStyle w:val="VerbatimChar"/>
              </w:rPr>
              <w:t xml:space="preserve">Explorer_CHANGELOG.md</w:t>
            </w:r>
          </w:p>
        </w:tc>
        <w:tc>
          <w:p>
            <w:pPr>
              <w:pStyle w:val="Compact"/>
              <w:jc w:val="left"/>
            </w:pPr>
            <w:r>
              <w:t xml:space="preserve">Version history</w:t>
            </w:r>
          </w:p>
        </w:tc>
      </w:tr>
    </w:tbl>
    <w:p>
      <w:pPr>
        <w:pStyle w:val="Heading3"/>
      </w:pPr>
      <w:bookmarkStart w:id="50" w:name="Xcef9ff154a28ffbb6fad02ad0896ee45cadd3cc"/>
      <w:r>
        <w:t xml:space="preserve">6.9 Documentation Tooling —</w:t>
      </w:r>
      <w:r>
        <w:t xml:space="preserve"> </w:t>
      </w:r>
      <w:r>
        <w:rPr>
          <w:rStyle w:val="VerbatimChar"/>
        </w:rPr>
        <w:t xml:space="preserve">Prompts/Documentation/</w:t>
      </w:r>
      <w:bookmarkEnd w:id="50"/>
    </w:p>
    <w:p>
      <w:pPr>
        <w:pStyle w:val="FirstParagraph"/>
      </w:pPr>
      <w:r>
        <w:t xml:space="preserve">Maintains the AIF New Vertical documentation set. Three-mode agent: Mode 1 (Staleness Check), Mode 2 (Draft Update), Mode 3 (Innovation Scout). V1.0 — 2026/06/12.</w:t>
      </w:r>
    </w:p>
    <w:tbl>
      <w:tblPr>
        <w:tblStyle w:val="TableGrid"/>
        <w:tblW w:type="pct" w:w="5000.0"/>
        <w:tblLook w:firstRow="1"/>
      </w:tblPr>
      <w:tblGrid>
        <w:gridCol w:w="3168"/>
        <w:gridCol w:w="4752"/>
      </w:tblGrid>
      <w:tr>
        <w:trPr>
          <w:cnfStyle w:firstRow="1"/>
        </w:trPr>
        <w:tc>
          <w:tcPr>
            <w:tcBorders>
              <w:bottom w:val="single"/>
            </w:tcBorders>
            <w:vAlign w:val="bottom"/>
            <w:shd w:val="clear" w:color="auto" w:fill="1B3A6B"/>
          </w:tcPr>
          <w:p>
            <w:pPr>
              <w:pStyle w:val="Compact"/>
              <w:jc w:val="left"/>
            </w:pPr>
            <w:r>
              <w:rPr>
                <w:b/>
                <w:color w:val="FFFFFF"/>
              </w:rPr>
              <w:t xml:space="preserve">File</w:t>
            </w:r>
          </w:p>
        </w:tc>
        <w:tc>
          <w:tcPr>
            <w:tcBorders>
              <w:bottom w:val="single"/>
            </w:tcBorders>
            <w:vAlign w:val="bottom"/>
            <w:shd w:val="clear" w:color="auto" w:fill="1B3A6B"/>
          </w:tcPr>
          <w:p>
            <w:pPr>
              <w:pStyle w:val="Compact"/>
              <w:jc w:val="left"/>
            </w:pPr>
            <w:r>
              <w:rPr>
                <w:b/>
                <w:color w:val="FFFFFF"/>
              </w:rPr>
              <w:t xml:space="preserve">Purpose</w:t>
            </w:r>
          </w:p>
        </w:tc>
      </w:tr>
      <w:tr>
        <w:tc>
          <w:p>
            <w:pPr>
              <w:pStyle w:val="Compact"/>
              <w:jc w:val="left"/>
            </w:pPr>
            <w:r>
              <w:rPr>
                <w:rStyle w:val="VerbatimChar"/>
              </w:rPr>
              <w:t xml:space="preserve">Documentation_Update_Agent.md</w:t>
            </w:r>
          </w:p>
        </w:tc>
        <w:tc>
          <w:p>
            <w:pPr>
              <w:pStyle w:val="Compact"/>
              <w:jc w:val="left"/>
            </w:pPr>
            <w:r>
              <w:t xml:space="preserve">Three-mode documentation maintenance agent</w:t>
            </w:r>
          </w:p>
        </w:tc>
      </w:tr>
      <w:tr>
        <w:tc>
          <w:p>
            <w:pPr>
              <w:pStyle w:val="Compact"/>
              <w:jc w:val="left"/>
            </w:pPr>
            <w:r>
              <w:rPr>
                <w:rStyle w:val="VerbatimChar"/>
              </w:rPr>
              <w:t xml:space="preserve">doc_manifest.json</w:t>
            </w:r>
          </w:p>
        </w:tc>
        <w:tc>
          <w:p>
            <w:pPr>
              <w:pStyle w:val="Compact"/>
              <w:jc w:val="left"/>
            </w:pPr>
            <w:r>
              <w:t xml:space="preserve">Section-to-source mapping for all five documentation files</w:t>
            </w:r>
          </w:p>
        </w:tc>
      </w:tr>
      <w:tr>
        <w:tc>
          <w:p>
            <w:pPr>
              <w:pStyle w:val="Compact"/>
              <w:jc w:val="left"/>
            </w:pPr>
            <w:r>
              <w:rPr>
                <w:rStyle w:val="VerbatimChar"/>
              </w:rPr>
              <w:t xml:space="preserve">proposals_register.md</w:t>
            </w:r>
          </w:p>
        </w:tc>
        <w:tc>
          <w:p>
            <w:pPr>
              <w:pStyle w:val="Compact"/>
              <w:jc w:val="left"/>
            </w:pPr>
            <w:r>
              <w:t xml:space="preserve">Self-improvement proposals register</w:t>
            </w:r>
          </w:p>
        </w:tc>
      </w:tr>
      <w:tr>
        <w:tc>
          <w:p>
            <w:pPr>
              <w:pStyle w:val="Compact"/>
              <w:jc w:val="left"/>
            </w:pPr>
            <w:r>
              <w:rPr>
                <w:rStyle w:val="VerbatimChar"/>
              </w:rPr>
              <w:t xml:space="preserve">generate_flow_html.js</w:t>
            </w:r>
          </w:p>
        </w:tc>
        <w:tc>
          <w:p>
            <w:pPr>
              <w:pStyle w:val="Compact"/>
              <w:jc w:val="left"/>
            </w:pPr>
            <w:r>
              <w:t xml:space="preserve">HTML end-to-end flow generator</w:t>
            </w:r>
          </w:p>
        </w:tc>
      </w:tr>
      <w:tr>
        <w:tc>
          <w:p>
            <w:pPr>
              <w:pStyle w:val="Compact"/>
              <w:jc w:val="left"/>
            </w:pPr>
            <w:r>
              <w:rPr>
                <w:rStyle w:val="VerbatimChar"/>
              </w:rPr>
              <w:t xml:space="preserve">flow_spec.json</w:t>
            </w:r>
          </w:p>
        </w:tc>
        <w:tc>
          <w:p>
            <w:pPr>
              <w:pStyle w:val="Compact"/>
              <w:jc w:val="left"/>
            </w:pPr>
            <w:r>
              <w:t xml:space="preserve">Flow spec — source of truth for the HTML flow; 15 stages + gate</w:t>
            </w:r>
          </w:p>
        </w:tc>
      </w:tr>
      <w:tr>
        <w:tc>
          <w:p>
            <w:pPr>
              <w:pStyle w:val="Compact"/>
              <w:jc w:val="left"/>
            </w:pPr>
            <w:r>
              <w:rPr>
                <w:rStyle w:val="VerbatimChar"/>
              </w:rPr>
              <w:t xml:space="preserve">validate_documentation.js</w:t>
            </w:r>
          </w:p>
        </w:tc>
        <w:tc>
          <w:p>
            <w:pPr>
              <w:pStyle w:val="Compact"/>
              <w:jc w:val="left"/>
            </w:pPr>
            <w:r>
              <w:t xml:space="preserve">Content quality validator (D01–D10)</w:t>
            </w:r>
          </w:p>
        </w:tc>
      </w:tr>
      <w:tr>
        <w:tc>
          <w:p>
            <w:pPr>
              <w:pStyle w:val="Compact"/>
              <w:jc w:val="left"/>
            </w:pPr>
            <w:r>
              <w:rPr>
                <w:rStyle w:val="VerbatimChar"/>
              </w:rPr>
              <w:t xml:space="preserve">build_aif_reference_template.py</w:t>
            </w:r>
          </w:p>
        </w:tc>
        <w:tc>
          <w:p>
            <w:pPr>
              <w:pStyle w:val="Compact"/>
              <w:jc w:val="left"/>
            </w:pPr>
            <w:r>
              <w:t xml:space="preserve">Builds</w:t>
            </w:r>
            <w:r>
              <w:t xml:space="preserve"> </w:t>
            </w:r>
            <w:r>
              <w:rPr>
                <w:rStyle w:val="VerbatimChar"/>
              </w:rPr>
              <w:t xml:space="preserve">Prompts/Documentation/aif_reference_template.docx</w:t>
            </w:r>
            <w:r>
              <w:t xml:space="preserve"> </w:t>
            </w:r>
            <w:r>
              <w:t xml:space="preserve">— pandoc reference doc with AIF brand styles and page-numbered footer. Run once or when brand styles change.</w:t>
            </w:r>
          </w:p>
        </w:tc>
      </w:tr>
      <w:tr>
        <w:tc>
          <w:p>
            <w:pPr>
              <w:pStyle w:val="Compact"/>
              <w:jc w:val="left"/>
            </w:pPr>
            <w:r>
              <w:rPr>
                <w:rStyle w:val="VerbatimChar"/>
              </w:rPr>
              <w:t xml:space="preserve">generate_aif_docx.py</w:t>
            </w:r>
          </w:p>
        </w:tc>
        <w:tc>
          <w:p>
            <w:pPr>
              <w:pStyle w:val="Compact"/>
              <w:jc w:val="left"/>
            </w:pPr>
            <w:r>
              <w:t xml:space="preserve">DOCX pipeline for all AIF New Vertical documents: pandoc + post-processing for cover block and H1 page breaks. Outputs to</w:t>
            </w:r>
            <w:r>
              <w:t xml:space="preserve"> </w:t>
            </w:r>
            <w:r>
              <w:rPr>
                <w:rStyle w:val="VerbatimChar"/>
              </w:rPr>
              <w:t xml:space="preserve">Outputs for Distribution/</w:t>
            </w:r>
            <w:r>
              <w:t xml:space="preserve">.</w:t>
            </w:r>
          </w:p>
        </w:tc>
      </w:tr>
      <w:tr>
        <w:tc>
          <w:p>
            <w:pPr>
              <w:pStyle w:val="Compact"/>
              <w:jc w:val="left"/>
            </w:pPr>
            <w:r>
              <w:rPr>
                <w:rStyle w:val="VerbatimChar"/>
              </w:rPr>
              <w:t xml:space="preserve">Documentation_CHANGELOG.md</w:t>
            </w:r>
          </w:p>
        </w:tc>
        <w:tc>
          <w:p>
            <w:pPr>
              <w:pStyle w:val="Compact"/>
              <w:jc w:val="left"/>
            </w:pPr>
            <w:r>
              <w:t xml:space="preserve">Version history for all Documentation tooling</w:t>
            </w:r>
          </w:p>
        </w:tc>
      </w:tr>
    </w:tbl>
    <w:p>
      <w:r>
        <w:pict>
          <v:rect style="width:0;height:1.5pt" o:hralign="center" o:hrstd="t" o:hr="t"/>
        </w:pict>
      </w:r>
    </w:p>
    <w:p>
      <w:pPr>
        <w:pStyle w:val="Heading2"/>
      </w:pPr>
      <w:bookmarkStart w:id="51" w:name="the-agent-architecture-model"/>
      <w:r>
        <w:t xml:space="preserve">7. The Agent Architecture Model</w:t>
      </w:r>
      <w:bookmarkEnd w:id="51"/>
    </w:p>
    <w:p>
      <w:pPr>
        <w:pStyle w:val="Heading3"/>
      </w:pPr>
      <w:bookmarkStart w:id="52" w:name="the-three-tier-model-explained"/>
      <w:r>
        <w:t xml:space="preserve">7.1 The Three-Tier Model Explained</w:t>
      </w:r>
      <w:bookmarkEnd w:id="52"/>
    </w:p>
    <w:p>
      <w:pPr>
        <w:pStyle w:val="FirstParagraph"/>
      </w:pPr>
      <w:r>
        <w:t xml:space="preserve">Agent architecture design synthesises across all L3 sub-processes to answer three questions that no individual L3 document can answer alone: what is the full agent set for this macro process, how do the agents work together, and what does the deployment look like in each state?</w:t>
      </w:r>
    </w:p>
    <w:p>
      <w:pPr>
        <w:pStyle w:val="BodyText"/>
      </w:pPr>
      <w:r>
        <w:t xml:space="preserve">The three tiers (defined fully in Section 4.4) provide the classification vocabulary. The tier model is applied consistently across all visual artefacts — interaction diagrams, presentation slides, and any graphical output where agents are represented. The tier colours (Navy for Foundation, Medium Blue for Domain, Teal for Process) are reserved exclusively for agent-tier elements and must not be applied to human roles, process steps, or non-agent elements.</w:t>
      </w:r>
    </w:p>
    <w:p>
      <w:pPr>
        <w:pStyle w:val="BodyText"/>
      </w:pPr>
      <w:r>
        <w:t xml:space="preserve">Agent codes are three uppercase letters (e.g. IMA, BCA, DOA), derived from the agent’s name, unique within a macro process, and permanent once assigned. Full names follow the pattern</w:t>
      </w:r>
      <w:r>
        <w:t xml:space="preserve"> </w:t>
      </w:r>
      <w:r>
        <w:rPr>
          <w:rStyle w:val="VerbatimChar"/>
        </w:rPr>
        <w:t xml:space="preserve">[Function] Agent</w:t>
      </w:r>
      <w:r>
        <w:t xml:space="preserve"> </w:t>
      </w:r>
      <w:r>
        <w:t xml:space="preserve">(e.g. </w:t>
      </w:r>
      <w:r>
        <w:rPr>
          <w:rStyle w:val="VerbatimChar"/>
        </w:rPr>
        <w:t xml:space="preserve">Information Management Agent</w:t>
      </w:r>
      <w:r>
        <w:t xml:space="preserve">).</w:t>
      </w:r>
    </w:p>
    <w:p>
      <w:pPr>
        <w:pStyle w:val="Heading3"/>
      </w:pPr>
      <w:bookmarkStart w:id="53" w:name="Xc8743d254df13cff6f4767ab75061dd7c60b99c"/>
      <w:r>
        <w:t xml:space="preserve">7.2 The Artefact Set (A–H) — What Each Produces and When</w:t>
      </w:r>
      <w:bookmarkEnd w:id="53"/>
    </w:p>
    <w:p>
      <w:pPr>
        <w:pStyle w:val="FirstParagraph"/>
      </w:pPr>
      <w:r>
        <w:t xml:space="preserve">After all L3 sub-processes for a macro process are complete, the following eight artefacts are produced by running</w:t>
      </w:r>
      <w:r>
        <w:t xml:space="preserve"> </w:t>
      </w:r>
      <w:r>
        <w:rPr>
          <w:rStyle w:val="VerbatimChar"/>
        </w:rPr>
        <w:t xml:space="preserve">L2_post_L3_agent_architecture_design.md</w:t>
      </w:r>
      <w:r>
        <w:t xml:space="preserve">:</w:t>
      </w:r>
    </w:p>
    <w:tbl>
      <w:tblPr>
        <w:tblStyle w:val="TableGrid"/>
        <w:tblW w:type="pct" w:w="5000.0"/>
        <w:tblLook w:firstRow="1"/>
      </w:tblPr>
      <w:tblGrid>
        <w:gridCol w:w="1650"/>
        <w:gridCol w:w="3465"/>
        <w:gridCol w:w="2805"/>
      </w:tblGrid>
      <w:tr>
        <w:trPr>
          <w:cnfStyle w:firstRow="1"/>
        </w:trPr>
        <w:tc>
          <w:tcPr>
            <w:tcBorders>
              <w:bottom w:val="single"/>
            </w:tcBorders>
            <w:vAlign w:val="bottom"/>
            <w:shd w:val="clear" w:color="auto" w:fill="1B3A6B"/>
          </w:tcPr>
          <w:p>
            <w:pPr>
              <w:pStyle w:val="Compact"/>
              <w:jc w:val="left"/>
            </w:pPr>
            <w:r>
              <w:rPr>
                <w:b/>
                <w:color w:val="FFFFFF"/>
              </w:rPr>
              <w:t xml:space="preserve">Artefact</w:t>
            </w:r>
          </w:p>
        </w:tc>
        <w:tc>
          <w:tcPr>
            <w:tcBorders>
              <w:bottom w:val="single"/>
            </w:tcBorders>
            <w:vAlign w:val="bottom"/>
            <w:shd w:val="clear" w:color="auto" w:fill="1B3A6B"/>
          </w:tcPr>
          <w:p>
            <w:pPr>
              <w:pStyle w:val="Compact"/>
              <w:jc w:val="left"/>
            </w:pPr>
            <w:r>
              <w:rPr>
                <w:b/>
                <w:color w:val="FFFFFF"/>
              </w:rPr>
              <w:t xml:space="preserve">File naming pattern</w:t>
            </w:r>
          </w:p>
        </w:tc>
        <w:tc>
          <w:tcPr>
            <w:tcBorders>
              <w:bottom w:val="single"/>
            </w:tcBorders>
            <w:vAlign w:val="bottom"/>
            <w:shd w:val="clear" w:color="auto" w:fill="1B3A6B"/>
          </w:tcPr>
          <w:p>
            <w:pPr>
              <w:pStyle w:val="Compact"/>
              <w:jc w:val="left"/>
            </w:pPr>
            <w:r>
              <w:rPr>
                <w:b/>
                <w:color w:val="FFFFFF"/>
              </w:rPr>
              <w:t xml:space="preserve">What it contains</w:t>
            </w:r>
          </w:p>
        </w:tc>
      </w:tr>
      <w:tr>
        <w:tc>
          <w:p>
            <w:pPr>
              <w:pStyle w:val="Compact"/>
              <w:jc w:val="left"/>
            </w:pPr>
            <w:r>
              <w:t xml:space="preserve">A</w:t>
            </w:r>
          </w:p>
        </w:tc>
        <w:tc>
          <w:p>
            <w:pPr>
              <w:pStyle w:val="Compact"/>
              <w:jc w:val="left"/>
            </w:pPr>
            <w:r>
              <w:rPr>
                <w:rStyle w:val="VerbatimChar"/>
              </w:rPr>
              <w:t xml:space="preserve">01_[MP]_Agent_Taxonomy.md</w:t>
            </w:r>
          </w:p>
        </w:tc>
        <w:tc>
          <w:p>
            <w:pPr>
              <w:pStyle w:val="Compact"/>
              <w:jc w:val="left"/>
            </w:pPr>
            <w:r>
              <w:t xml:space="preserve">Canonical agent taxonomy with tier classifications and IS operating modes</w:t>
            </w:r>
          </w:p>
        </w:tc>
      </w:tr>
      <w:tr>
        <w:tc>
          <w:p>
            <w:pPr>
              <w:pStyle w:val="Compact"/>
              <w:jc w:val="left"/>
            </w:pPr>
            <w:r>
              <w:t xml:space="preserve">B</w:t>
            </w:r>
          </w:p>
        </w:tc>
        <w:tc>
          <w:p>
            <w:pPr>
              <w:pStyle w:val="Compact"/>
              <w:jc w:val="left"/>
            </w:pPr>
            <w:r>
              <w:rPr>
                <w:rStyle w:val="VerbatimChar"/>
              </w:rPr>
              <w:t xml:space="preserve">02_[MP]_Agent_Master_Catalogue.md</w:t>
            </w:r>
          </w:p>
        </w:tc>
        <w:tc>
          <w:p>
            <w:pPr>
              <w:pStyle w:val="Compact"/>
              <w:jc w:val="left"/>
            </w:pPr>
            <w:r>
              <w:t xml:space="preserve">Detailed specifications for every agent: purpose, IS/TS design, inputs/outputs, HITL interfaces</w:t>
            </w:r>
          </w:p>
        </w:tc>
      </w:tr>
      <w:tr>
        <w:tc>
          <w:p>
            <w:pPr>
              <w:pStyle w:val="Compact"/>
              <w:jc w:val="left"/>
            </w:pPr>
            <w:r>
              <w:t xml:space="preserve">C</w:t>
            </w:r>
          </w:p>
        </w:tc>
        <w:tc>
          <w:p>
            <w:pPr>
              <w:pStyle w:val="Compact"/>
              <w:jc w:val="left"/>
            </w:pPr>
            <w:r>
              <w:rPr>
                <w:rStyle w:val="VerbatimChar"/>
              </w:rPr>
              <w:t xml:space="preserve">03_[MP]_Agentic_Architecture_Overview.md</w:t>
            </w:r>
          </w:p>
        </w:tc>
        <w:tc>
          <w:p>
            <w:pPr>
              <w:pStyle w:val="Compact"/>
              <w:jc w:val="left"/>
            </w:pPr>
            <w:r>
              <w:t xml:space="preserve">Narrative architecture synthesis — how agents work together across the macro process</w:t>
            </w:r>
          </w:p>
        </w:tc>
      </w:tr>
      <w:tr>
        <w:tc>
          <w:p>
            <w:pPr>
              <w:pStyle w:val="Compact"/>
              <w:jc w:val="left"/>
            </w:pPr>
            <w:r>
              <w:t xml:space="preserve">D</w:t>
            </w:r>
          </w:p>
        </w:tc>
        <w:tc>
          <w:p>
            <w:pPr>
              <w:pStyle w:val="Compact"/>
              <w:jc w:val="left"/>
            </w:pPr>
            <w:r>
              <w:rPr>
                <w:rStyle w:val="VerbatimChar"/>
              </w:rPr>
              <w:t xml:space="preserve">04_[MP]_[AGENTCODE]_Unified_Specification.md</w:t>
            </w:r>
            <w:r>
              <w:t xml:space="preserve"> </w:t>
            </w:r>
            <w:r>
              <w:t xml:space="preserve">(×N)</w:t>
            </w:r>
          </w:p>
        </w:tc>
        <w:tc>
          <w:p>
            <w:pPr>
              <w:pStyle w:val="Compact"/>
              <w:jc w:val="left"/>
            </w:pPr>
            <w:r>
              <w:t xml:space="preserve">Per-agent unified specification combining all L3 references</w:t>
            </w:r>
          </w:p>
        </w:tc>
      </w:tr>
      <w:tr>
        <w:tc>
          <w:p>
            <w:pPr>
              <w:pStyle w:val="Compact"/>
              <w:jc w:val="left"/>
            </w:pPr>
            <w:r>
              <w:t xml:space="preserve">E</w:t>
            </w:r>
          </w:p>
        </w:tc>
        <w:tc>
          <w:p>
            <w:pPr>
              <w:pStyle w:val="Compact"/>
              <w:jc w:val="left"/>
            </w:pPr>
            <w:r>
              <w:rPr>
                <w:rStyle w:val="VerbatimChar"/>
              </w:rPr>
              <w:t xml:space="preserve">04_[MP]_[AGENTCODE]_Interaction_Diagram.html</w:t>
            </w:r>
            <w:r>
              <w:t xml:space="preserve"> </w:t>
            </w:r>
            <w:r>
              <w:t xml:space="preserve">(×N)</w:t>
            </w:r>
          </w:p>
        </w:tc>
        <w:tc>
          <w:p>
            <w:pPr>
              <w:pStyle w:val="Compact"/>
              <w:jc w:val="left"/>
            </w:pPr>
            <w:r>
              <w:t xml:space="preserve">Per-agent interaction diagrams (04_ prefix, distinguished by AGENTCODE)</w:t>
            </w:r>
          </w:p>
        </w:tc>
      </w:tr>
      <w:tr>
        <w:tc>
          <w:p>
            <w:pPr>
              <w:pStyle w:val="Compact"/>
              <w:jc w:val="left"/>
            </w:pPr>
            <w:r>
              <w:t xml:space="preserve">F</w:t>
            </w:r>
          </w:p>
        </w:tc>
        <w:tc>
          <w:p>
            <w:pPr>
              <w:pStyle w:val="Compact"/>
              <w:jc w:val="left"/>
            </w:pPr>
            <w:r>
              <w:rPr>
                <w:rStyle w:val="VerbatimChar"/>
              </w:rPr>
              <w:t xml:space="preserve">05_[MP]_Coverage_Matrix.md</w:t>
            </w:r>
          </w:p>
        </w:tc>
        <w:tc>
          <w:p>
            <w:pPr>
              <w:pStyle w:val="Compact"/>
              <w:jc w:val="left"/>
            </w:pPr>
            <w:r>
              <w:t xml:space="preserve">Cross-sub-process agent coverage matrix</w:t>
            </w:r>
          </w:p>
        </w:tc>
      </w:tr>
      <w:tr>
        <w:tc>
          <w:p>
            <w:pPr>
              <w:pStyle w:val="Compact"/>
              <w:jc w:val="left"/>
            </w:pPr>
            <w:r>
              <w:t xml:space="preserve">G</w:t>
            </w:r>
          </w:p>
        </w:tc>
        <w:tc>
          <w:p>
            <w:pPr>
              <w:pStyle w:val="Compact"/>
              <w:jc w:val="left"/>
            </w:pPr>
            <w:r>
              <w:rPr>
                <w:rStyle w:val="VerbatimChar"/>
              </w:rPr>
              <w:t xml:space="preserve">06_Agent_Interaction_Diagrams.html</w:t>
            </w:r>
          </w:p>
        </w:tc>
        <w:tc>
          <w:p>
            <w:pPr>
              <w:pStyle w:val="Compact"/>
              <w:jc w:val="left"/>
            </w:pPr>
            <w:r>
              <w:t xml:space="preserve">Combined interaction diagrams for the full macro process</w:t>
            </w:r>
          </w:p>
        </w:tc>
      </w:tr>
      <w:tr>
        <w:tc>
          <w:p>
            <w:pPr>
              <w:pStyle w:val="Compact"/>
              <w:jc w:val="left"/>
            </w:pPr>
            <w:r>
              <w:t xml:space="preserve">H</w:t>
            </w:r>
          </w:p>
        </w:tc>
        <w:tc>
          <w:p>
            <w:pPr>
              <w:pStyle w:val="Compact"/>
              <w:jc w:val="left"/>
            </w:pPr>
            <w:r>
              <w:rPr>
                <w:rStyle w:val="VerbatimChar"/>
              </w:rPr>
              <w:t xml:space="preserve">07_HITL_Master_Register.md</w:t>
            </w:r>
          </w:p>
        </w:tc>
        <w:tc>
          <w:p>
            <w:pPr>
              <w:pStyle w:val="Compact"/>
              <w:jc w:val="left"/>
            </w:pPr>
            <w:r>
              <w:t xml:space="preserve">Consolidated HITL register — all HITL gates across all sub-processes for both states</w:t>
            </w:r>
          </w:p>
        </w:tc>
      </w:tr>
    </w:tbl>
    <w:p>
      <w:pPr>
        <w:pStyle w:val="BodyText"/>
      </w:pPr>
      <w:r>
        <w:rPr>
          <w:b/>
        </w:rPr>
        <w:t xml:space="preserve">Critical naming rule:</w:t>
      </w:r>
      <w:r>
        <w:t xml:space="preserve"> </w:t>
      </w:r>
      <w:r>
        <w:t xml:space="preserve">All Artefact E files use the</w:t>
      </w:r>
      <w:r>
        <w:t xml:space="preserve"> </w:t>
      </w:r>
      <w:r>
        <w:rPr>
          <w:rStyle w:val="VerbatimChar"/>
        </w:rPr>
        <w:t xml:space="preserve">04_</w:t>
      </w:r>
      <w:r>
        <w:t xml:space="preserve"> </w:t>
      </w:r>
      <w:r>
        <w:t xml:space="preserve">file prefix, distinguished only by their AGENTCODE. Do not use</w:t>
      </w:r>
      <w:r>
        <w:t xml:space="preserve"> </w:t>
      </w:r>
      <w:r>
        <w:rPr>
          <w:rStyle w:val="VerbatimChar"/>
        </w:rPr>
        <w:t xml:space="preserve">05_</w:t>
      </w:r>
      <w:r>
        <w:t xml:space="preserve"> </w:t>
      </w:r>
      <w:r>
        <w:t xml:space="preserve">or</w:t>
      </w:r>
      <w:r>
        <w:t xml:space="preserve"> </w:t>
      </w:r>
      <w:r>
        <w:rPr>
          <w:rStyle w:val="VerbatimChar"/>
        </w:rPr>
        <w:t xml:space="preserve">06_</w:t>
      </w:r>
      <w:r>
        <w:t xml:space="preserve"> </w:t>
      </w:r>
      <w:r>
        <w:t xml:space="preserve">prefixes for E files — these are reserved for Artefacts F and G respectively.</w:t>
      </w:r>
    </w:p>
    <w:p>
      <w:pPr>
        <w:pStyle w:val="Heading3"/>
      </w:pPr>
      <w:bookmarkStart w:id="54" w:name="the-framework-agent-register-far"/>
      <w:r>
        <w:t xml:space="preserve">7.3 The Framework Agent Register (FAR)</w:t>
      </w:r>
      <w:bookmarkEnd w:id="54"/>
    </w:p>
    <w:p>
      <w:pPr>
        <w:pStyle w:val="FirstParagraph"/>
      </w:pPr>
      <w:r>
        <w:t xml:space="preserve">The Framework Agent Register is a cross-process master view of all agents across all macro processes in a vertical. It is produced by</w:t>
      </w:r>
      <w:r>
        <w:t xml:space="preserve"> </w:t>
      </w:r>
      <w:r>
        <w:rPr>
          <w:rStyle w:val="VerbatimChar"/>
        </w:rPr>
        <w:t xml:space="preserve">Framework_Agent_Register_Agent.md</w:t>
      </w:r>
      <w:r>
        <w:t xml:space="preserve"> </w:t>
      </w:r>
      <w:r>
        <w:t xml:space="preserve">and lives in</w:t>
      </w:r>
      <w:r>
        <w:t xml:space="preserve"> </w:t>
      </w:r>
      <w:r>
        <w:rPr>
          <w:rStyle w:val="VerbatimChar"/>
        </w:rPr>
        <w:t xml:space="preserve">[FRAMEWORK_ROOT]/L1/Agentic Overview/</w:t>
      </w:r>
      <w:r>
        <w:t xml:space="preserve">. The FAR is first produced as a provisional register after the first macro process’s artefact set is complete; it is updated after each subsequent post-L3 artefact build (Stage 10 in the lifecycle). The FAR is the single reference for checking agent consistency across the framework — naming, tier classification, and cross-process scope.</w:t>
      </w:r>
    </w:p>
    <w:p>
      <w:pPr>
        <w:pStyle w:val="Heading3"/>
      </w:pPr>
      <w:bookmarkStart w:id="55" w:name="naming-conventions"/>
      <w:r>
        <w:t xml:space="preserve">7.4 Naming Conventions</w:t>
      </w:r>
      <w:bookmarkEnd w:id="55"/>
    </w:p>
    <w:p>
      <w:pPr>
        <w:pStyle w:val="FirstParagraph"/>
      </w:pPr>
      <w:r>
        <w:t xml:space="preserve">A complete agent identity consists of:</w:t>
      </w:r>
      <w:r>
        <w:t xml:space="preserve"> </w:t>
      </w:r>
      <w:r>
        <w:t xml:space="preserve">-</w:t>
      </w:r>
      <w:r>
        <w:t xml:space="preserve"> </w:t>
      </w:r>
      <w:r>
        <w:rPr>
          <w:b/>
        </w:rPr>
        <w:t xml:space="preserve">Code:</w:t>
      </w:r>
      <w:r>
        <w:t xml:space="preserve"> </w:t>
      </w:r>
      <w:r>
        <w:t xml:space="preserve">3 uppercase letters (e.g. </w:t>
      </w:r>
      <w:r>
        <w:rPr>
          <w:rStyle w:val="VerbatimChar"/>
        </w:rPr>
        <w:t xml:space="preserve">IMA</w:t>
      </w:r>
      <w:r>
        <w:t xml:space="preserve">) — permanent, unique within the macro process</w:t>
      </w:r>
      <w:r>
        <w:t xml:space="preserve"> </w:t>
      </w:r>
      <w:r>
        <w:t xml:space="preserve">-</w:t>
      </w:r>
      <w:r>
        <w:t xml:space="preserve"> </w:t>
      </w:r>
      <w:r>
        <w:rPr>
          <w:b/>
        </w:rPr>
        <w:t xml:space="preserve">Full name:</w:t>
      </w:r>
      <w:r>
        <w:t xml:space="preserve"> </w:t>
      </w:r>
      <w:r>
        <w:rPr>
          <w:rStyle w:val="VerbatimChar"/>
        </w:rPr>
        <w:t xml:space="preserve">[Function] Agent</w:t>
      </w:r>
      <w:r>
        <w:t xml:space="preserve"> </w:t>
      </w:r>
      <w:r>
        <w:t xml:space="preserve">(e.g. </w:t>
      </w:r>
      <w:r>
        <w:rPr>
          <w:rStyle w:val="VerbatimChar"/>
        </w:rPr>
        <w:t xml:space="preserve">Information Management Agent</w:t>
      </w:r>
      <w:r>
        <w:t xml:space="preserve">) — 4 words or fewer before</w:t>
      </w:r>
      <w:r>
        <w:t xml:space="preserve"> </w:t>
      </w:r>
      <w:r>
        <w:t xml:space="preserve">“</w:t>
      </w:r>
      <w:r>
        <w:t xml:space="preserve">Agent</w:t>
      </w:r>
      <w:r>
        <w:t xml:space="preserve">”</w:t>
      </w:r>
      <w:r>
        <w:t xml:space="preserve"> </w:t>
      </w:r>
      <w:r>
        <w:t xml:space="preserve">-</w:t>
      </w:r>
      <w:r>
        <w:t xml:space="preserve"> </w:t>
      </w:r>
      <w:r>
        <w:rPr>
          <w:b/>
        </w:rPr>
        <w:t xml:space="preserve">Tier:</w:t>
      </w:r>
      <w:r>
        <w:t xml:space="preserve"> </w:t>
      </w:r>
      <w:r>
        <w:t xml:space="preserve">Foundation, Domain, or Process</w:t>
      </w:r>
      <w:r>
        <w:t xml:space="preserve"> </w:t>
      </w:r>
      <w:r>
        <w:t xml:space="preserve">-</w:t>
      </w:r>
      <w:r>
        <w:t xml:space="preserve"> </w:t>
      </w:r>
      <w:r>
        <w:rPr>
          <w:b/>
        </w:rPr>
        <w:t xml:space="preserve">IS operating mode:</w:t>
      </w:r>
      <w:r>
        <w:t xml:space="preserve"> </w:t>
      </w:r>
      <w:r>
        <w:t xml:space="preserve">Primary actor, Overlay (manually-triggered), or Not deployed</w:t>
      </w:r>
    </w:p>
    <w:p>
      <w:pPr>
        <w:pStyle w:val="BodyText"/>
      </w:pPr>
      <w:r>
        <w:t xml:space="preserve">Every agent in every L3 swimlane, system prompt, and artefact must use the same code and name as the canonical entry in the Agent Taxonomy (Artefact A). Inconsistency in agent naming across files is a design error.</w:t>
      </w:r>
    </w:p>
    <w:p>
      <w:r>
        <w:pict>
          <v:rect style="width:0;height:1.5pt" o:hralign="center" o:hrstd="t" o:hr="t"/>
        </w:pict>
      </w:r>
    </w:p>
    <w:p>
      <w:pPr>
        <w:pStyle w:val="Heading2"/>
      </w:pPr>
      <w:bookmarkStart w:id="56" w:name="control-plane-architecture"/>
      <w:r>
        <w:t xml:space="preserve">8. Control Plane Architecture</w:t>
      </w:r>
      <w:bookmarkEnd w:id="56"/>
    </w:p>
    <w:p>
      <w:pPr>
        <w:pStyle w:val="Heading3"/>
      </w:pPr>
      <w:bookmarkStart w:id="57" w:name="what-the-control-plane-is"/>
      <w:r>
        <w:t xml:space="preserve">8.1 What the Control Plane Is</w:t>
      </w:r>
      <w:bookmarkEnd w:id="57"/>
    </w:p>
    <w:p>
      <w:pPr>
        <w:pStyle w:val="FirstParagraph"/>
      </w:pPr>
      <w:r>
        <w:t xml:space="preserve">The Control Plane is the persistent operational layer of an agentic framework. It is not a process — it does not execute value stream work directly. It is the layer that makes the work legible, manageable, and governable as agents execute across processes. It integrates five dimensions: humans (HITL authority, escalation routing), agents (activation conditions, state tracking), process (gate readiness, cross-macro handoffs), data (signal quality, information state), and outcomes (performance intelligence, trend detection).</w:t>
      </w:r>
    </w:p>
    <w:p>
      <w:pPr>
        <w:pStyle w:val="BodyText"/>
      </w:pPr>
      <w:r>
        <w:t xml:space="preserve">The Control Plane is a design concern — it must be built into the framework architecture from the start, not added as a post-project monitoring layer.</w:t>
      </w:r>
    </w:p>
    <w:p>
      <w:pPr>
        <w:pStyle w:val="Heading3"/>
      </w:pPr>
      <w:bookmarkStart w:id="58" w:name="the-five-layer-model"/>
      <w:r>
        <w:t xml:space="preserve">8.2 The Five-Layer Model</w:t>
      </w:r>
      <w:bookmarkEnd w:id="58"/>
    </w:p>
    <w:p>
      <w:pPr>
        <w:pStyle w:val="FirstParagraph"/>
      </w:pPr>
      <w:r>
        <w:t xml:space="preserve">The Control Plane is structured as five layers (ordered from foundation to governance):</w:t>
      </w:r>
    </w:p>
    <w:tbl>
      <w:tblPr>
        <w:tblStyle w:val="TableGrid"/>
        <w:tblW w:type="pct" w:w="5000.0"/>
        <w:tblLook w:firstRow="1"/>
      </w:tblPr>
      <w:tblGrid>
        <w:gridCol w:w="1848"/>
        <w:gridCol w:w="1584"/>
        <w:gridCol w:w="4488"/>
      </w:tblGrid>
      <w:tr>
        <w:trPr>
          <w:cnfStyle w:firstRow="1"/>
        </w:trPr>
        <w:tc>
          <w:tcPr>
            <w:tcBorders>
              <w:bottom w:val="single"/>
            </w:tcBorders>
            <w:vAlign w:val="bottom"/>
            <w:shd w:val="clear" w:color="auto" w:fill="1B3A6B"/>
          </w:tcPr>
          <w:p>
            <w:pPr>
              <w:pStyle w:val="Compact"/>
              <w:jc w:val="left"/>
            </w:pPr>
            <w:r>
              <w:rPr>
                <w:b/>
                <w:color w:val="FFFFFF"/>
              </w:rPr>
              <w:t xml:space="preserve">Layer</w:t>
            </w:r>
          </w:p>
        </w:tc>
        <w:tc>
          <w:tcPr>
            <w:tcBorders>
              <w:bottom w:val="single"/>
            </w:tcBorders>
            <w:vAlign w:val="bottom"/>
            <w:shd w:val="clear" w:color="auto" w:fill="1B3A6B"/>
          </w:tcPr>
          <w:p>
            <w:pPr>
              <w:pStyle w:val="Compact"/>
              <w:jc w:val="left"/>
            </w:pPr>
            <w:r>
              <w:rPr>
                <w:b/>
                <w:color w:val="FFFFFF"/>
              </w:rPr>
              <w:t xml:space="preserve">Name</w:t>
            </w:r>
          </w:p>
        </w:tc>
        <w:tc>
          <w:tcPr>
            <w:tcBorders>
              <w:bottom w:val="single"/>
            </w:tcBorders>
            <w:vAlign w:val="bottom"/>
            <w:shd w:val="clear" w:color="auto" w:fill="1B3A6B"/>
          </w:tcPr>
          <w:p>
            <w:pPr>
              <w:pStyle w:val="Compact"/>
              <w:jc w:val="left"/>
            </w:pPr>
            <w:r>
              <w:rPr>
                <w:b/>
                <w:color w:val="FFFFFF"/>
              </w:rPr>
              <w:t xml:space="preserve">What it governs</w:t>
            </w:r>
          </w:p>
        </w:tc>
      </w:tr>
      <w:tr>
        <w:tc>
          <w:p>
            <w:pPr>
              <w:pStyle w:val="Compact"/>
              <w:jc w:val="left"/>
            </w:pPr>
            <w:r>
              <w:t xml:space="preserve">1</w:t>
            </w:r>
          </w:p>
        </w:tc>
        <w:tc>
          <w:p>
            <w:pPr>
              <w:pStyle w:val="Compact"/>
              <w:jc w:val="left"/>
            </w:pPr>
            <w:r>
              <w:rPr>
                <w:b/>
              </w:rPr>
              <w:t xml:space="preserve">Config</w:t>
            </w:r>
          </w:p>
        </w:tc>
        <w:tc>
          <w:p>
            <w:pPr>
              <w:pStyle w:val="Compact"/>
              <w:jc w:val="left"/>
            </w:pPr>
            <w:r>
              <w:t xml:space="preserve">Business or programme operating parameters — the ground rules the system operates within</w:t>
            </w:r>
          </w:p>
        </w:tc>
      </w:tr>
      <w:tr>
        <w:tc>
          <w:p>
            <w:pPr>
              <w:pStyle w:val="Compact"/>
              <w:jc w:val="left"/>
            </w:pPr>
            <w:r>
              <w:t xml:space="preserve">2</w:t>
            </w:r>
          </w:p>
        </w:tc>
        <w:tc>
          <w:p>
            <w:pPr>
              <w:pStyle w:val="Compact"/>
              <w:jc w:val="left"/>
            </w:pPr>
            <w:r>
              <w:rPr>
                <w:b/>
              </w:rPr>
              <w:t xml:space="preserve">Signal</w:t>
            </w:r>
          </w:p>
        </w:tc>
        <w:tc>
          <w:p>
            <w:pPr>
              <w:pStyle w:val="Compact"/>
              <w:jc w:val="left"/>
            </w:pPr>
            <w:r>
              <w:t xml:space="preserve">Event bus and activation triggers — the mechanism by which the system responds to events</w:t>
            </w:r>
          </w:p>
        </w:tc>
      </w:tr>
      <w:tr>
        <w:tc>
          <w:p>
            <w:pPr>
              <w:pStyle w:val="Compact"/>
              <w:jc w:val="left"/>
            </w:pPr>
            <w:r>
              <w:t xml:space="preserve">3</w:t>
            </w:r>
          </w:p>
        </w:tc>
        <w:tc>
          <w:p>
            <w:pPr>
              <w:pStyle w:val="Compact"/>
              <w:jc w:val="left"/>
            </w:pPr>
            <w:r>
              <w:rPr>
                <w:b/>
              </w:rPr>
              <w:t xml:space="preserve">State</w:t>
            </w:r>
          </w:p>
        </w:tc>
        <w:tc>
          <w:p>
            <w:pPr>
              <w:pStyle w:val="Compact"/>
              <w:jc w:val="left"/>
            </w:pPr>
            <w:r>
              <w:t xml:space="preserve">Accumulated programme status — the running record of where everything is</w:t>
            </w:r>
          </w:p>
        </w:tc>
      </w:tr>
      <w:tr>
        <w:tc>
          <w:p>
            <w:pPr>
              <w:pStyle w:val="Compact"/>
              <w:jc w:val="left"/>
            </w:pPr>
            <w:r>
              <w:t xml:space="preserve">4</w:t>
            </w:r>
          </w:p>
        </w:tc>
        <w:tc>
          <w:p>
            <w:pPr>
              <w:pStyle w:val="Compact"/>
              <w:jc w:val="left"/>
            </w:pPr>
            <w:r>
              <w:rPr>
                <w:b/>
              </w:rPr>
              <w:t xml:space="preserve">Intelligence</w:t>
            </w:r>
          </w:p>
        </w:tc>
        <w:tc>
          <w:p>
            <w:pPr>
              <w:pStyle w:val="Compact"/>
              <w:jc w:val="left"/>
            </w:pPr>
            <w:r>
              <w:t xml:space="preserve">History, trends, pattern recognition — analytical capability built on accumulated state</w:t>
            </w:r>
          </w:p>
        </w:tc>
      </w:tr>
      <w:tr>
        <w:tc>
          <w:p>
            <w:pPr>
              <w:pStyle w:val="Compact"/>
              <w:jc w:val="left"/>
            </w:pPr>
            <w:r>
              <w:t xml:space="preserve">5</w:t>
            </w:r>
          </w:p>
        </w:tc>
        <w:tc>
          <w:p>
            <w:pPr>
              <w:pStyle w:val="Compact"/>
              <w:jc w:val="left"/>
            </w:pPr>
            <w:r>
              <w:rPr>
                <w:b/>
              </w:rPr>
              <w:t xml:space="preserve">Governance</w:t>
            </w:r>
          </w:p>
        </w:tc>
        <w:tc>
          <w:p>
            <w:pPr>
              <w:pStyle w:val="Compact"/>
              <w:jc w:val="left"/>
            </w:pPr>
            <w:r>
              <w:t xml:space="preserve">HITL enforcement, authority, audit trail — the human oversight layer</w:t>
            </w:r>
          </w:p>
        </w:tc>
      </w:tr>
    </w:tbl>
    <w:p>
      <w:pPr>
        <w:pStyle w:val="BodyText"/>
      </w:pPr>
      <w:r>
        <w:t xml:space="preserve">Each layer shapes the layer(s) above it. The ordering is intentional. A framework without a well-defined Signal layer cannot have meaningful State; without State, Intelligence has nothing to analyse; without Intelligence, Governance is reactive rather than anticipatory.</w:t>
      </w:r>
    </w:p>
    <w:p>
      <w:pPr>
        <w:pStyle w:val="Heading3"/>
      </w:pPr>
      <w:bookmarkStart w:id="59" w:name="when-to-produce-it"/>
      <w:r>
        <w:t xml:space="preserve">8.3 When to Produce It</w:t>
      </w:r>
      <w:bookmarkEnd w:id="59"/>
    </w:p>
    <w:p>
      <w:pPr>
        <w:pStyle w:val="FirstParagraph"/>
      </w:pPr>
      <w:r>
        <w:t xml:space="preserve">Control Plane design can begin alongside L1 and L2 design — as soon as the macro processes and their boundary conditions are understood. It must be completed (and confirmed) before the Framework Complete gate (Stage 15). The framework-level Control Plane Architecture document lives in</w:t>
      </w:r>
      <w:r>
        <w:t xml:space="preserve"> </w:t>
      </w:r>
      <w:r>
        <w:rPr>
          <w:rStyle w:val="VerbatimChar"/>
        </w:rPr>
        <w:t xml:space="preserve">[FRAMEWORK_ROOT]/ControlPlane/[FRAMEWORK_ID]_ControlPlane_Architecture.md</w:t>
      </w:r>
      <w:r>
        <w:t xml:space="preserve"> </w:t>
      </w:r>
      <w:r>
        <w:t xml:space="preserve">and follows the document specification in</w:t>
      </w:r>
      <w:r>
        <w:t xml:space="preserve"> </w:t>
      </w:r>
      <w:r>
        <w:rPr>
          <w:rStyle w:val="VerbatimChar"/>
        </w:rPr>
        <w:t xml:space="preserve">Prompts/ControlPlane/AIF_ControlPlane_design_framework.md</w:t>
      </w:r>
      <w:r>
        <w:t xml:space="preserve"> </w:t>
      </w:r>
      <w:r>
        <w:t xml:space="preserve">Section 8.</w:t>
      </w:r>
    </w:p>
    <w:p>
      <w:r>
        <w:pict>
          <v:rect style="width:0;height:1.5pt" o:hralign="center" o:hrstd="t" o:hr="t"/>
        </w:pict>
      </w:r>
    </w:p>
    <w:p>
      <w:pPr>
        <w:pStyle w:val="Heading2"/>
      </w:pPr>
      <w:bookmarkStart w:id="60" w:name="how-the-documents-relate"/>
      <w:r>
        <w:t xml:space="preserve">9. How the Documents Relate</w:t>
      </w:r>
      <w:bookmarkEnd w:id="60"/>
    </w:p>
    <w:p>
      <w:pPr>
        <w:pStyle w:val="FirstParagraph"/>
      </w:pPr>
      <w:r>
        <w:t xml:space="preserve">The five documents in the AIF New Vertical documentation set serve different audiences and different purposes. They are complementary, not redundant.</w:t>
      </w:r>
    </w:p>
    <w:tbl>
      <w:tblPr>
        <w:tblStyle w:val="TableGrid"/>
        <w:tblW w:type="pct" w:w="5000.0"/>
        <w:tblLook w:firstRow="1"/>
      </w:tblPr>
      <w:tblGrid>
        <w:gridCol w:w="1931"/>
        <w:gridCol w:w="1931"/>
        <w:gridCol w:w="1738"/>
        <w:gridCol w:w="2318"/>
      </w:tblGrid>
      <w:tr>
        <w:trPr>
          <w:cnfStyle w:firstRow="1"/>
        </w:trPr>
        <w:tc>
          <w:tcPr>
            <w:tcBorders>
              <w:bottom w:val="single"/>
            </w:tcBorders>
            <w:vAlign w:val="bottom"/>
            <w:shd w:val="clear" w:color="auto" w:fill="1B3A6B"/>
          </w:tcPr>
          <w:p>
            <w:pPr>
              <w:pStyle w:val="Compact"/>
              <w:jc w:val="left"/>
            </w:pPr>
            <w:r>
              <w:rPr>
                <w:b/>
                <w:color w:val="FFFFFF"/>
              </w:rPr>
              <w:t xml:space="preserve">Document</w:t>
            </w:r>
          </w:p>
        </w:tc>
        <w:tc>
          <w:tcPr>
            <w:tcBorders>
              <w:bottom w:val="single"/>
            </w:tcBorders>
            <w:vAlign w:val="bottom"/>
            <w:shd w:val="clear" w:color="auto" w:fill="1B3A6B"/>
          </w:tcPr>
          <w:p>
            <w:pPr>
              <w:pStyle w:val="Compact"/>
              <w:jc w:val="left"/>
            </w:pPr>
            <w:r>
              <w:rPr>
                <w:b/>
                <w:color w:val="FFFFFF"/>
              </w:rPr>
              <w:t xml:space="preserve">Audience</w:t>
            </w:r>
          </w:p>
        </w:tc>
        <w:tc>
          <w:tcPr>
            <w:tcBorders>
              <w:bottom w:val="single"/>
            </w:tcBorders>
            <w:vAlign w:val="bottom"/>
            <w:shd w:val="clear" w:color="auto" w:fill="1B3A6B"/>
          </w:tcPr>
          <w:p>
            <w:pPr>
              <w:pStyle w:val="Compact"/>
              <w:jc w:val="left"/>
            </w:pPr>
            <w:r>
              <w:rPr>
                <w:b/>
                <w:color w:val="FFFFFF"/>
              </w:rPr>
              <w:t xml:space="preserve">Purpose</w:t>
            </w:r>
          </w:p>
        </w:tc>
        <w:tc>
          <w:tcPr>
            <w:tcBorders>
              <w:bottom w:val="single"/>
            </w:tcBorders>
            <w:vAlign w:val="bottom"/>
            <w:shd w:val="clear" w:color="auto" w:fill="1B3A6B"/>
          </w:tcPr>
          <w:p>
            <w:pPr>
              <w:pStyle w:val="Compact"/>
              <w:jc w:val="left"/>
            </w:pPr>
            <w:r>
              <w:rPr>
                <w:b/>
                <w:color w:val="FFFFFF"/>
              </w:rPr>
              <w:t xml:space="preserve">Dependency</w:t>
            </w:r>
          </w:p>
        </w:tc>
      </w:tr>
      <w:tr>
        <w:tc>
          <w:p>
            <w:pPr>
              <w:pStyle w:val="Compact"/>
              <w:jc w:val="left"/>
            </w:pPr>
            <w:r>
              <w:rPr>
                <w:b/>
              </w:rPr>
              <w:t xml:space="preserve">This document (Methodology Manual)</w:t>
            </w:r>
          </w:p>
        </w:tc>
        <w:tc>
          <w:p>
            <w:pPr>
              <w:pStyle w:val="Compact"/>
              <w:jc w:val="left"/>
            </w:pPr>
            <w:r>
              <w:t xml:space="preserve">All practitioners</w:t>
            </w:r>
          </w:p>
        </w:tc>
        <w:tc>
          <w:p>
            <w:pPr>
              <w:pStyle w:val="Compact"/>
              <w:jc w:val="left"/>
            </w:pPr>
            <w:r>
              <w:t xml:space="preserve">Understand the framework — what it is, why it works, what the concepts mean</w:t>
            </w:r>
          </w:p>
        </w:tc>
        <w:tc>
          <w:p>
            <w:pPr>
              <w:pStyle w:val="Compact"/>
              <w:jc w:val="left"/>
            </w:pPr>
            <w:r>
              <w:t xml:space="preserve">Read first</w:t>
            </w:r>
          </w:p>
        </w:tc>
      </w:tr>
      <w:tr>
        <w:tc>
          <w:p>
            <w:pPr>
              <w:pStyle w:val="Compact"/>
              <w:jc w:val="left"/>
            </w:pPr>
            <w:r>
              <w:rPr>
                <w:b/>
              </w:rPr>
              <w:t xml:space="preserve">Practitioner Playbook</w:t>
            </w:r>
          </w:p>
        </w:tc>
        <w:tc>
          <w:p>
            <w:pPr>
              <w:pStyle w:val="Compact"/>
              <w:jc w:val="left"/>
            </w:pPr>
            <w:r>
              <w:t xml:space="preserve">AIF practitioners (operational)</w:t>
            </w:r>
          </w:p>
        </w:tc>
        <w:tc>
          <w:p>
            <w:pPr>
              <w:pStyle w:val="Compact"/>
              <w:jc w:val="left"/>
            </w:pPr>
            <w:r>
              <w:t xml:space="preserve">Know what to do next — stage-by-stage operating instructions</w:t>
            </w:r>
          </w:p>
        </w:tc>
        <w:tc>
          <w:p>
            <w:pPr>
              <w:pStyle w:val="Compact"/>
              <w:jc w:val="left"/>
            </w:pPr>
            <w:r>
              <w:t xml:space="preserve">Read after Manual</w:t>
            </w:r>
          </w:p>
        </w:tc>
      </w:tr>
      <w:tr>
        <w:tc>
          <w:p>
            <w:pPr>
              <w:pStyle w:val="Compact"/>
              <w:jc w:val="left"/>
            </w:pPr>
            <w:r>
              <w:rPr>
                <w:b/>
              </w:rPr>
              <w:t xml:space="preserve">End-to-End Flow (HTML)</w:t>
            </w:r>
          </w:p>
        </w:tc>
        <w:tc>
          <w:p>
            <w:pPr>
              <w:pStyle w:val="Compact"/>
              <w:jc w:val="left"/>
            </w:pPr>
            <w:r>
              <w:t xml:space="preserve">Any — quick reference</w:t>
            </w:r>
          </w:p>
        </w:tc>
        <w:tc>
          <w:p>
            <w:pPr>
              <w:pStyle w:val="Compact"/>
              <w:jc w:val="left"/>
            </w:pPr>
            <w:r>
              <w:t xml:space="preserve">See the complete sequence at a glance; regenerated from</w:t>
            </w:r>
            <w:r>
              <w:t xml:space="preserve"> </w:t>
            </w:r>
            <w:r>
              <w:rPr>
                <w:rStyle w:val="VerbatimChar"/>
              </w:rPr>
              <w:t xml:space="preserve">flow_spec.json</w:t>
            </w:r>
          </w:p>
        </w:tc>
        <w:tc>
          <w:p>
            <w:pPr>
              <w:pStyle w:val="Compact"/>
              <w:jc w:val="left"/>
            </w:pPr>
            <w:r>
              <w:t xml:space="preserve">Derived from Playbook</w:t>
            </w:r>
          </w:p>
        </w:tc>
      </w:tr>
      <w:tr>
        <w:tc>
          <w:p>
            <w:pPr>
              <w:pStyle w:val="Compact"/>
              <w:jc w:val="left"/>
            </w:pPr>
            <w:r>
              <w:rPr>
                <w:b/>
              </w:rPr>
              <w:t xml:space="preserve">L1 Facilitator’s Guide</w:t>
            </w:r>
          </w:p>
        </w:tc>
        <w:tc>
          <w:p>
            <w:pPr>
              <w:pStyle w:val="Compact"/>
              <w:jc w:val="left"/>
            </w:pPr>
            <w:r>
              <w:t xml:space="preserve">Workshop facilitators</w:t>
            </w:r>
          </w:p>
        </w:tc>
        <w:tc>
          <w:p>
            <w:pPr>
              <w:pStyle w:val="Compact"/>
              <w:jc w:val="left"/>
            </w:pPr>
            <w:r>
              <w:t xml:space="preserve">Plan and run the L1 workshop and L2 review session</w:t>
            </w:r>
          </w:p>
        </w:tc>
        <w:tc>
          <w:p>
            <w:pPr>
              <w:pStyle w:val="Compact"/>
              <w:jc w:val="left"/>
            </w:pPr>
            <w:r>
              <w:t xml:space="preserve">Read before running Stage 3 or Stage 6</w:t>
            </w:r>
          </w:p>
        </w:tc>
      </w:tr>
      <w:tr>
        <w:tc>
          <w:p>
            <w:pPr>
              <w:pStyle w:val="Compact"/>
              <w:jc w:val="left"/>
            </w:pPr>
            <w:r>
              <w:rPr>
                <w:b/>
              </w:rPr>
              <w:t xml:space="preserve">Workshop Participant’s Guide</w:t>
            </w:r>
          </w:p>
        </w:tc>
        <w:tc>
          <w:p>
            <w:pPr>
              <w:pStyle w:val="Compact"/>
              <w:jc w:val="left"/>
            </w:pPr>
            <w:r>
              <w:t xml:space="preserve">Domain experts and client stakeholders</w:t>
            </w:r>
          </w:p>
        </w:tc>
        <w:tc>
          <w:p>
            <w:pPr>
              <w:pStyle w:val="Compact"/>
              <w:jc w:val="left"/>
            </w:pPr>
            <w:r>
              <w:t xml:space="preserve">Understand the purpose of the workshop and what to contribute</w:t>
            </w:r>
          </w:p>
        </w:tc>
        <w:tc>
          <w:p>
            <w:pPr>
              <w:pStyle w:val="Compact"/>
              <w:jc w:val="left"/>
            </w:pPr>
            <w:r>
              <w:t xml:space="preserve">Distribute 2–3 days before Stage 3</w:t>
            </w:r>
          </w:p>
        </w:tc>
      </w:tr>
    </w:tbl>
    <w:p>
      <w:pPr>
        <w:pStyle w:val="BodyText"/>
      </w:pPr>
      <w:r>
        <w:t xml:space="preserve">The Methodology Manual and the Practitioner Playbook do not duplicate each other. The Manual explains the methodology; the Playbook tells you how to execute it. A practitioner who reads only the Playbook without reading the Manual will be able to follow the steps but not understand the reasoning behind them — which means they will not be able to make good decisions when the steps don’t quite fit the situation.</w:t>
      </w:r>
    </w:p>
    <w:p>
      <w:r>
        <w:pict>
          <v:rect style="width:0;height:1.5pt" o:hralign="center" o:hrstd="t" o:hr="t"/>
        </w:pict>
      </w:r>
    </w:p>
    <w:p>
      <w:pPr>
        <w:pStyle w:val="Heading2"/>
      </w:pPr>
      <w:bookmarkStart w:id="61" w:name="version-and-changelog-policy"/>
      <w:r>
        <w:t xml:space="preserve">10. Version and Changelog Policy</w:t>
      </w:r>
      <w:bookmarkEnd w:id="61"/>
    </w:p>
    <w:p>
      <w:pPr>
        <w:pStyle w:val="Heading3"/>
      </w:pPr>
      <w:bookmarkStart w:id="62" w:name="version-numbering"/>
      <w:r>
        <w:t xml:space="preserve">Version numbering</w:t>
      </w:r>
      <w:bookmarkEnd w:id="62"/>
    </w:p>
    <w:p>
      <w:pPr>
        <w:pStyle w:val="FirstParagraph"/>
      </w:pPr>
      <w:r>
        <w:t xml:space="preserve">Documents in this set use semantic versioning:</w:t>
      </w:r>
      <w:r>
        <w:t xml:space="preserve"> </w:t>
      </w:r>
      <w:r>
        <w:rPr>
          <w:rStyle w:val="VerbatimChar"/>
        </w:rPr>
        <w:t xml:space="preserve">[Major].[Minor]</w:t>
      </w:r>
      <w:r>
        <w:t xml:space="preserve">. Major version increments when the document’s structure or scope changes materially — for example, if a new level is added to the methodology, or a fundamental design principle is revised. Minor version increments when content is updated, corrected, or extended without structural change. Documents should be incremented whenever their content is changed — never left at a previous version after modification. A document at version</w:t>
      </w:r>
      <w:r>
        <w:t xml:space="preserve"> </w:t>
      </w:r>
      <w:r>
        <w:rPr>
          <w:rStyle w:val="VerbatimChar"/>
        </w:rPr>
        <w:t xml:space="preserve">0.x</w:t>
      </w:r>
      <w:r>
        <w:t xml:space="preserve"> </w:t>
      </w:r>
      <w:r>
        <w:t xml:space="preserve">is a working draft; a document at version</w:t>
      </w:r>
      <w:r>
        <w:t xml:space="preserve"> </w:t>
      </w:r>
      <w:r>
        <w:rPr>
          <w:rStyle w:val="VerbatimChar"/>
        </w:rPr>
        <w:t xml:space="preserve">1.0</w:t>
      </w:r>
      <w:r>
        <w:t xml:space="preserve"> </w:t>
      </w:r>
      <w:r>
        <w:t xml:space="preserve">or above is considered approved and in active use by the engagement team.</w:t>
      </w:r>
    </w:p>
    <w:p>
      <w:pPr>
        <w:pStyle w:val="BodyText"/>
      </w:pPr>
      <w:r>
        <w:t xml:space="preserve">In addition to document-level versioning, each framework folder maintains a</w:t>
      </w:r>
      <w:r>
        <w:t xml:space="preserve"> </w:t>
      </w:r>
      <w:r>
        <w:rPr>
          <w:b/>
        </w:rPr>
        <w:t xml:space="preserve">framework-level version number</w:t>
      </w:r>
      <w:r>
        <w:t xml:space="preserve"> </w:t>
      </w:r>
      <w:r>
        <w:t xml:space="preserve">in</w:t>
      </w:r>
      <w:r>
        <w:t xml:space="preserve"> </w:t>
      </w:r>
      <w:r>
        <w:rPr>
          <w:rStyle w:val="VerbatimChar"/>
        </w:rPr>
        <w:t xml:space="preserve">[FRAMEWORK_ROOT]/CHANGELOG.md</w:t>
      </w:r>
      <w:r>
        <w:t xml:space="preserve">. This uses</w:t>
      </w:r>
      <w:r>
        <w:t xml:space="preserve"> </w:t>
      </w:r>
      <w:r>
        <w:rPr>
          <w:rStyle w:val="VerbatimChar"/>
        </w:rPr>
        <w:t xml:space="preserve">X.YY</w:t>
      </w:r>
      <w:r>
        <w:t xml:space="preserve"> </w:t>
      </w:r>
      <w:r>
        <w:t xml:space="preserve">format — major is a single digit; minor is always two digits (00–99). Major increments for structural milestones: a new macro process added to scope, a level of design (L2 or L3) completed across all processes for the first time, or a major artefact type (Control Plane, RAISE, Explorer) introduced for the first time. Minor increments for any content update: a sub-process completed, outputs regenerated, an artefact updated, FAR version bumped, or an L2 post-L3 update applied. Every changelog entry must carry a</w:t>
      </w:r>
      <w:r>
        <w:t xml:space="preserve"> </w:t>
      </w:r>
      <w:r>
        <w:rPr>
          <w:rStyle w:val="VerbatimChar"/>
        </w:rPr>
        <w:t xml:space="preserve">**Version:** X.YY</w:t>
      </w:r>
      <w:r>
        <w:t xml:space="preserve"> </w:t>
      </w:r>
      <w:r>
        <w:t xml:space="preserve">tag on the line immediately below the date header. The version in the most recent entry is the authoritative current framework version. New frameworks begin at version</w:t>
      </w:r>
      <w:r>
        <w:t xml:space="preserve"> </w:t>
      </w:r>
      <w:r>
        <w:rPr>
          <w:rStyle w:val="VerbatimChar"/>
        </w:rPr>
        <w:t xml:space="preserve">0.01</w:t>
      </w:r>
      <w:r>
        <w:t xml:space="preserve"> </w:t>
      </w:r>
      <w:r>
        <w:t xml:space="preserve">(setup complete, pre-work in preparation) and reach</w:t>
      </w:r>
      <w:r>
        <w:t xml:space="preserve"> </w:t>
      </w:r>
      <w:r>
        <w:rPr>
          <w:rStyle w:val="VerbatimChar"/>
        </w:rPr>
        <w:t xml:space="preserve">1.00</w:t>
      </w:r>
      <w:r>
        <w:t xml:space="preserve"> </w:t>
      </w:r>
      <w:r>
        <w:t xml:space="preserve">when the framework is substantively complete and in active delivery use.</w:t>
      </w:r>
    </w:p>
    <w:p>
      <w:pPr>
        <w:pStyle w:val="Heading3"/>
      </w:pPr>
      <w:bookmarkStart w:id="63" w:name="date-format"/>
      <w:r>
        <w:t xml:space="preserve">Date format</w:t>
      </w:r>
      <w:bookmarkEnd w:id="63"/>
    </w:p>
    <w:p>
      <w:pPr>
        <w:pStyle w:val="FirstParagraph"/>
      </w:pPr>
      <w:r>
        <w:t xml:space="preserve">All dates in changelogs, decision logs, and any dated entry across the Engine and every framework must use</w:t>
      </w:r>
      <w:r>
        <w:t xml:space="preserve"> </w:t>
      </w:r>
      <w:r>
        <w:rPr>
          <w:rStyle w:val="VerbatimChar"/>
        </w:rPr>
        <w:t xml:space="preserve">YYYY/MM/DD</w:t>
      </w:r>
      <w:r>
        <w:t xml:space="preserve"> </w:t>
      </w:r>
      <w:r>
        <w:t xml:space="preserve">format. This applies to all eleven mandatory changelog files, the decisions log from the L1 workshop, the</w:t>
      </w:r>
      <w:r>
        <w:t xml:space="preserve"> </w:t>
      </w:r>
      <w:r>
        <w:rPr>
          <w:rStyle w:val="VerbatimChar"/>
        </w:rPr>
        <w:t xml:space="preserve">ProjectStatus.md</w:t>
      </w:r>
      <w:r>
        <w:t xml:space="preserve"> </w:t>
      </w:r>
      <w:r>
        <w:t xml:space="preserve">file in each framework folder, and any dated annotation in a document header or footer. No other date format is permitted — do not use</w:t>
      </w:r>
      <w:r>
        <w:t xml:space="preserve"> </w:t>
      </w:r>
      <w:r>
        <w:rPr>
          <w:rStyle w:val="VerbatimChar"/>
        </w:rPr>
        <w:t xml:space="preserve">DD/MM/YYYY</w:t>
      </w:r>
      <w:r>
        <w:t xml:space="preserve">,</w:t>
      </w:r>
      <w:r>
        <w:t xml:space="preserve"> </w:t>
      </w:r>
      <w:r>
        <w:rPr>
          <w:rStyle w:val="VerbatimChar"/>
        </w:rPr>
        <w:t xml:space="preserve">MM/DD/YYYY</w:t>
      </w:r>
      <w:r>
        <w:t xml:space="preserve">, or month-name formats.</w:t>
      </w:r>
    </w:p>
    <w:p>
      <w:pPr>
        <w:pStyle w:val="Heading3"/>
      </w:pPr>
      <w:bookmarkStart w:id="64" w:name="eleven-mandatory-changelogs"/>
      <w:r>
        <w:t xml:space="preserve">Eleven mandatory changelogs</w:t>
      </w:r>
      <w:bookmarkEnd w:id="64"/>
    </w:p>
    <w:p>
      <w:pPr>
        <w:pStyle w:val="FirstParagraph"/>
      </w:pPr>
      <w:r>
        <w:rPr>
          <w:i/>
        </w:rPr>
        <w:t xml:space="preserve">(Updated 2026/08/19 — this table had drifted to seven areas; four tooling areas added since 2026/06/12</w:t>
      </w:r>
      <w:r>
        <w:rPr>
          <w:i/>
        </w:rPr>
        <w:t xml:space="preserve"> </w:t>
      </w:r>
      <w:r>
        <w:rPr>
          <w:i/>
        </w:rPr>
        <w:t xml:space="preserve">— Agent, Control Plane, RAISE, Metamodel — are folded in below to match the live rule in root</w:t>
      </w:r>
      <w:r>
        <w:rPr>
          <w:i/>
        </w:rPr>
        <w:t xml:space="preserve"> </w:t>
      </w:r>
      <w:r>
        <w:rPr>
          <w:rStyle w:val="VerbatimChar"/>
          <w:i/>
        </w:rPr>
        <w:t xml:space="preserve">CLAUDE.md</w:t>
      </w:r>
      <w:r>
        <w:rPr>
          <w:i/>
        </w:rPr>
        <w:t xml:space="preserve">, which is the SSoT for this list.)</w:t>
      </w:r>
    </w:p>
    <w:p>
      <w:pPr>
        <w:pStyle w:val="BodyText"/>
      </w:pPr>
      <w:r>
        <w:t xml:space="preserve">Any change to any file in any of the following tooling areas, or any content change within a framework folder, must be logged in the corresponding changelog file:</w:t>
      </w:r>
    </w:p>
    <w:tbl>
      <w:tblPr>
        <w:tblStyle w:val="TableGrid"/>
        <w:tblW w:type="pct" w:w="5000.0"/>
        <w:tblLook w:firstRow="1"/>
      </w:tblPr>
      <w:tblGrid>
        <w:gridCol w:w="2262"/>
        <w:gridCol w:w="5657"/>
      </w:tblGrid>
      <w:tr>
        <w:trPr>
          <w:cnfStyle w:firstRow="1"/>
        </w:trPr>
        <w:tc>
          <w:tcPr>
            <w:tcBorders>
              <w:bottom w:val="single"/>
            </w:tcBorders>
            <w:vAlign w:val="bottom"/>
            <w:shd w:val="clear" w:color="auto" w:fill="1B3A6B"/>
          </w:tcPr>
          <w:p>
            <w:pPr>
              <w:pStyle w:val="Compact"/>
              <w:jc w:val="left"/>
            </w:pPr>
            <w:r>
              <w:rPr>
                <w:b/>
                <w:color w:val="FFFFFF"/>
              </w:rPr>
              <w:t xml:space="preserve">Area</w:t>
            </w:r>
          </w:p>
        </w:tc>
        <w:tc>
          <w:tcPr>
            <w:tcBorders>
              <w:bottom w:val="single"/>
            </w:tcBorders>
            <w:vAlign w:val="bottom"/>
            <w:shd w:val="clear" w:color="auto" w:fill="1B3A6B"/>
          </w:tcPr>
          <w:p>
            <w:pPr>
              <w:pStyle w:val="Compact"/>
              <w:jc w:val="left"/>
            </w:pPr>
            <w:r>
              <w:rPr>
                <w:b/>
                <w:color w:val="FFFFFF"/>
              </w:rPr>
              <w:t xml:space="preserve">Changelog file</w:t>
            </w:r>
          </w:p>
        </w:tc>
      </w:tr>
      <w:tr>
        <w:tc>
          <w:p>
            <w:pPr>
              <w:pStyle w:val="Compact"/>
              <w:jc w:val="left"/>
            </w:pPr>
            <w:r>
              <w:rPr>
                <w:rStyle w:val="VerbatimChar"/>
              </w:rPr>
              <w:t xml:space="preserve">Prompts/L1/</w:t>
            </w:r>
          </w:p>
        </w:tc>
        <w:tc>
          <w:p>
            <w:pPr>
              <w:pStyle w:val="Compact"/>
              <w:jc w:val="left"/>
            </w:pPr>
            <w:r>
              <w:rPr>
                <w:rStyle w:val="VerbatimChar"/>
              </w:rPr>
              <w:t xml:space="preserve">Prompts/L1/L1_process_design_agent_CHANGELOG.md</w:t>
            </w:r>
          </w:p>
        </w:tc>
      </w:tr>
      <w:tr>
        <w:tc>
          <w:p>
            <w:pPr>
              <w:pStyle w:val="Compact"/>
              <w:jc w:val="left"/>
            </w:pPr>
            <w:r>
              <w:rPr>
                <w:rStyle w:val="VerbatimChar"/>
              </w:rPr>
              <w:t xml:space="preserve">Prompts/L2/</w:t>
            </w:r>
          </w:p>
        </w:tc>
        <w:tc>
          <w:p>
            <w:pPr>
              <w:pStyle w:val="Compact"/>
              <w:jc w:val="left"/>
            </w:pPr>
            <w:r>
              <w:rPr>
                <w:rStyle w:val="VerbatimChar"/>
              </w:rPr>
              <w:t xml:space="preserve">Prompts/L2/L2_process_design_agent_CHANGELOG.md</w:t>
            </w:r>
          </w:p>
        </w:tc>
      </w:tr>
      <w:tr>
        <w:tc>
          <w:p>
            <w:pPr>
              <w:pStyle w:val="Compact"/>
              <w:jc w:val="left"/>
            </w:pPr>
            <w:r>
              <w:rPr>
                <w:rStyle w:val="VerbatimChar"/>
              </w:rPr>
              <w:t xml:space="preserve">Prompts/L3/</w:t>
            </w:r>
          </w:p>
        </w:tc>
        <w:tc>
          <w:p>
            <w:pPr>
              <w:pStyle w:val="Compact"/>
              <w:jc w:val="left"/>
            </w:pPr>
            <w:r>
              <w:rPr>
                <w:rStyle w:val="VerbatimChar"/>
              </w:rPr>
              <w:t xml:space="preserve">Prompts/L3/L3_process_design_agent_CHANGELOG.md</w:t>
            </w:r>
          </w:p>
        </w:tc>
      </w:tr>
      <w:tr>
        <w:tc>
          <w:p>
            <w:pPr>
              <w:pStyle w:val="Compact"/>
              <w:jc w:val="left"/>
            </w:pPr>
            <w:r>
              <w:rPr>
                <w:rStyle w:val="VerbatimChar"/>
              </w:rPr>
              <w:t xml:space="preserve">Prompts/Agent/</w:t>
            </w:r>
          </w:p>
        </w:tc>
        <w:tc>
          <w:p>
            <w:pPr>
              <w:pStyle w:val="Compact"/>
              <w:jc w:val="left"/>
            </w:pPr>
            <w:r>
              <w:rPr>
                <w:rStyle w:val="VerbatimChar"/>
              </w:rPr>
              <w:t xml:space="preserve">Prompts/Agent/Agent_design_framework_CHANGELOG.md</w:t>
            </w:r>
          </w:p>
        </w:tc>
      </w:tr>
      <w:tr>
        <w:tc>
          <w:p>
            <w:pPr>
              <w:pStyle w:val="Compact"/>
              <w:jc w:val="left"/>
            </w:pPr>
            <w:r>
              <w:rPr>
                <w:rStyle w:val="VerbatimChar"/>
              </w:rPr>
              <w:t xml:space="preserve">Prompts/ControlPlane/</w:t>
            </w:r>
          </w:p>
        </w:tc>
        <w:tc>
          <w:p>
            <w:pPr>
              <w:pStyle w:val="Compact"/>
              <w:jc w:val="left"/>
            </w:pPr>
            <w:r>
              <w:rPr>
                <w:rStyle w:val="VerbatimChar"/>
              </w:rPr>
              <w:t xml:space="preserve">Prompts/ControlPlane/ControlPlane_CHANGELOG.md</w:t>
            </w:r>
          </w:p>
        </w:tc>
      </w:tr>
      <w:tr>
        <w:tc>
          <w:p>
            <w:pPr>
              <w:pStyle w:val="Compact"/>
              <w:jc w:val="left"/>
            </w:pPr>
            <w:r>
              <w:rPr>
                <w:rStyle w:val="VerbatimChar"/>
              </w:rPr>
              <w:t xml:space="preserve">Prompts/RAISE/</w:t>
            </w:r>
          </w:p>
        </w:tc>
        <w:tc>
          <w:p>
            <w:pPr>
              <w:pStyle w:val="Compact"/>
              <w:jc w:val="left"/>
            </w:pPr>
            <w:r>
              <w:rPr>
                <w:rStyle w:val="VerbatimChar"/>
              </w:rPr>
              <w:t xml:space="preserve">Prompts/RAISE/RAISE_generation_agent_CHANGELOG.md</w:t>
            </w:r>
          </w:p>
        </w:tc>
      </w:tr>
      <w:tr>
        <w:tc>
          <w:p>
            <w:pPr>
              <w:pStyle w:val="Compact"/>
              <w:jc w:val="left"/>
            </w:pPr>
            <w:r>
              <w:rPr>
                <w:rStyle w:val="VerbatimChar"/>
              </w:rPr>
              <w:t xml:space="preserve">Prompts/Explorer/</w:t>
            </w:r>
          </w:p>
        </w:tc>
        <w:tc>
          <w:p>
            <w:pPr>
              <w:pStyle w:val="Compact"/>
              <w:jc w:val="left"/>
            </w:pPr>
            <w:r>
              <w:rPr>
                <w:rStyle w:val="VerbatimChar"/>
              </w:rPr>
              <w:t xml:space="preserve">Prompts/Explorer/Explorer_CHANGELOG.md</w:t>
            </w:r>
          </w:p>
        </w:tc>
      </w:tr>
      <w:tr>
        <w:tc>
          <w:p>
            <w:pPr>
              <w:pStyle w:val="Compact"/>
              <w:jc w:val="left"/>
            </w:pPr>
            <w:r>
              <w:rPr>
                <w:rStyle w:val="VerbatimChar"/>
              </w:rPr>
              <w:t xml:space="preserve">Prompts/Documentation/</w:t>
            </w:r>
          </w:p>
        </w:tc>
        <w:tc>
          <w:p>
            <w:pPr>
              <w:pStyle w:val="Compact"/>
              <w:jc w:val="left"/>
            </w:pPr>
            <w:r>
              <w:rPr>
                <w:rStyle w:val="VerbatimChar"/>
              </w:rPr>
              <w:t xml:space="preserve">Prompts/Documentation/Documentation_CHANGELOG.md</w:t>
            </w:r>
          </w:p>
        </w:tc>
      </w:tr>
      <w:tr>
        <w:tc>
          <w:p>
            <w:pPr>
              <w:pStyle w:val="Compact"/>
              <w:jc w:val="left"/>
            </w:pPr>
            <w:r>
              <w:rPr>
                <w:rStyle w:val="VerbatimChar"/>
              </w:rPr>
              <w:t xml:space="preserve">Prompts/Metamodel/</w:t>
            </w:r>
          </w:p>
        </w:tc>
        <w:tc>
          <w:p>
            <w:pPr>
              <w:pStyle w:val="Compact"/>
              <w:jc w:val="left"/>
            </w:pPr>
            <w:r>
              <w:rPr>
                <w:rStyle w:val="VerbatimChar"/>
              </w:rPr>
              <w:t xml:space="preserve">Prompts/Metamodel/Metamodel_CHANGELOG.md</w:t>
            </w:r>
          </w:p>
        </w:tc>
      </w:tr>
      <w:tr>
        <w:tc>
          <w:p>
            <w:pPr>
              <w:pStyle w:val="Compact"/>
              <w:jc w:val="left"/>
            </w:pPr>
            <w:r>
              <w:t xml:space="preserve">Workspace structural changes (folder moves, new frameworks, root file edits)</w:t>
            </w:r>
          </w:p>
        </w:tc>
        <w:tc>
          <w:p>
            <w:pPr>
              <w:pStyle w:val="Compact"/>
              <w:jc w:val="left"/>
            </w:pPr>
            <w:r>
              <w:rPr>
                <w:rStyle w:val="VerbatimChar"/>
              </w:rPr>
              <w:t xml:space="preserve">ENGINE_CHANGELOG.md</w:t>
            </w:r>
            <w:r>
              <w:t xml:space="preserve"> </w:t>
            </w:r>
            <w:r>
              <w:t xml:space="preserve">(renamed from</w:t>
            </w:r>
            <w:r>
              <w:t xml:space="preserve"> </w:t>
            </w:r>
            <w:r>
              <w:rPr>
                <w:rStyle w:val="VerbatimChar"/>
              </w:rPr>
              <w:t xml:space="preserve">WORKSPACE_CHANGELOG.md</w:t>
            </w:r>
            <w:r>
              <w:t xml:space="preserve"> </w:t>
            </w:r>
            <w:r>
              <w:t xml:space="preserve">in Phase 2 of the path-separation migration, 2026/08/18 — STD-37)</w:t>
            </w:r>
          </w:p>
        </w:tc>
      </w:tr>
      <w:tr>
        <w:tc>
          <w:p>
            <w:pPr>
              <w:pStyle w:val="Compact"/>
              <w:jc w:val="left"/>
            </w:pPr>
            <w:r>
              <w:t xml:space="preserve">Framework content changes (any change within</w:t>
            </w:r>
            <w:r>
              <w:t xml:space="preserve"> </w:t>
            </w:r>
            <w:r>
              <w:rPr>
                <w:rStyle w:val="VerbatimChar"/>
              </w:rPr>
              <w:t xml:space="preserve">[FRAMEWORK_ROOT]/</w:t>
            </w:r>
            <w:r>
              <w:t xml:space="preserve">)</w:t>
            </w:r>
          </w:p>
        </w:tc>
        <w:tc>
          <w:p>
            <w:pPr>
              <w:pStyle w:val="Compact"/>
              <w:jc w:val="left"/>
            </w:pPr>
            <w:r>
              <w:rPr>
                <w:rStyle w:val="VerbatimChar"/>
              </w:rPr>
              <w:t xml:space="preserve">[FRAMEWORK_ROOT]/CHANGELOG.md</w:t>
            </w:r>
            <w:r>
              <w:t xml:space="preserve"> </w:t>
            </w:r>
            <w:r>
              <w:t xml:space="preserve">— increment</w:t>
            </w:r>
            <w:r>
              <w:t xml:space="preserve"> </w:t>
            </w:r>
            <w:r>
              <w:rPr>
                <w:rStyle w:val="VerbatimChar"/>
              </w:rPr>
              <w:t xml:space="preserve">X.YY</w:t>
            </w:r>
            <w:r>
              <w:t xml:space="preserve"> </w:t>
            </w:r>
            <w:r>
              <w:t xml:space="preserve">version and add</w:t>
            </w:r>
            <w:r>
              <w:t xml:space="preserve"> </w:t>
            </w:r>
            <w:r>
              <w:rPr>
                <w:rStyle w:val="VerbatimChar"/>
              </w:rPr>
              <w:t xml:space="preserve">**Version:** X.YY</w:t>
            </w:r>
            <w:r>
              <w:t xml:space="preserve"> </w:t>
            </w:r>
            <w:r>
              <w:t xml:space="preserve">tag to the entry</w:t>
            </w:r>
          </w:p>
        </w:tc>
      </w:tr>
    </w:tbl>
    <w:p>
      <w:pPr>
        <w:pStyle w:val="BodyText"/>
      </w:pPr>
      <w:r>
        <w:t xml:space="preserve">Every changelog entry must include: a new version number, the date (</w:t>
      </w:r>
      <w:r>
        <w:rPr>
          <w:rStyle w:val="VerbatimChar"/>
        </w:rPr>
        <w:t xml:space="preserve">YYYY/MM/DD</w:t>
      </w:r>
      <w:r>
        <w:t xml:space="preserve">), a description of what changed, and the reason for the change.</w:t>
      </w:r>
    </w:p>
    <w:p>
      <w:r>
        <w:pict>
          <v:rect style="width:0;height:1.5pt" o:hralign="center" o:hrstd="t" o:hr="t"/>
        </w:pict>
      </w:r>
    </w:p>
    <w:p>
      <w:pPr>
        <w:pStyle w:val="Heading2"/>
      </w:pPr>
      <w:bookmarkStart w:id="65" w:name="references"/>
      <w:r>
        <w:t xml:space="preserve">References</w:t>
      </w:r>
      <w:bookmarkEnd w:id="65"/>
    </w:p>
    <w:p>
      <w:pPr>
        <w:pStyle w:val="FirstParagraph"/>
      </w:pPr>
      <w:r>
        <w:t xml:space="preserve">Primary sources for this document:</w:t>
      </w:r>
    </w:p>
    <w:p>
      <w:pPr>
        <w:numPr>
          <w:ilvl w:val="0"/>
          <w:numId w:val="1005"/>
        </w:numPr>
        <w:pStyle w:val="Compact"/>
      </w:pPr>
      <w:r>
        <w:rPr>
          <w:rStyle w:val="VerbatimChar"/>
        </w:rPr>
        <w:t xml:space="preserve">CLAUDE.md</w:t>
      </w:r>
      <w:r>
        <w:t xml:space="preserve"> </w:t>
      </w:r>
      <w:r>
        <w:t xml:space="preserve">(root) — workspace conventions, tooling tables, changelog rules</w:t>
      </w:r>
    </w:p>
    <w:p>
      <w:pPr>
        <w:numPr>
          <w:ilvl w:val="0"/>
          <w:numId w:val="1005"/>
        </w:numPr>
        <w:pStyle w:val="Compact"/>
      </w:pPr>
      <w:r>
        <w:rPr>
          <w:rStyle w:val="VerbatimChar"/>
        </w:rPr>
        <w:t xml:space="preserve">Prompts/L1/L1_design_framework.md</w:t>
      </w:r>
      <w:r>
        <w:t xml:space="preserve"> </w:t>
      </w:r>
      <w:r>
        <w:t xml:space="preserve">— L1 methodology, deliverables, quality criteria (V2.2)</w:t>
      </w:r>
    </w:p>
    <w:p>
      <w:pPr>
        <w:numPr>
          <w:ilvl w:val="0"/>
          <w:numId w:val="1005"/>
        </w:numPr>
        <w:pStyle w:val="Compact"/>
      </w:pPr>
      <w:r>
        <w:rPr>
          <w:rStyle w:val="VerbatimChar"/>
        </w:rPr>
        <w:t xml:space="preserve">Prompts/L1/L1_Workshop_Dry_Run.md</w:t>
      </w:r>
      <w:r>
        <w:t xml:space="preserve"> </w:t>
      </w:r>
      <w:r>
        <w:t xml:space="preserve">— four-phase L1 process walkthrough (V1.0)</w:t>
      </w:r>
    </w:p>
    <w:p>
      <w:pPr>
        <w:numPr>
          <w:ilvl w:val="0"/>
          <w:numId w:val="1005"/>
        </w:numPr>
        <w:pStyle w:val="Compact"/>
      </w:pPr>
      <w:r>
        <w:rPr>
          <w:rStyle w:val="VerbatimChar"/>
        </w:rPr>
        <w:t xml:space="preserve">Prompts/L2/L2_design_framework.md</w:t>
      </w:r>
      <w:r>
        <w:t xml:space="preserve"> </w:t>
      </w:r>
      <w:r>
        <w:t xml:space="preserve">— L2 methodology, dual-state design, gate sequence (V1.1)</w:t>
      </w:r>
    </w:p>
    <w:p>
      <w:pPr>
        <w:numPr>
          <w:ilvl w:val="0"/>
          <w:numId w:val="1005"/>
        </w:numPr>
        <w:pStyle w:val="Compact"/>
      </w:pPr>
      <w:r>
        <w:rPr>
          <w:rStyle w:val="VerbatimChar"/>
        </w:rPr>
        <w:t xml:space="preserve">Prompts/L3/L3_state_design_framework.md</w:t>
      </w:r>
      <w:r>
        <w:t xml:space="preserve"> </w:t>
      </w:r>
      <w:r>
        <w:t xml:space="preserve">— Interim/Target State design framework (v2.0)</w:t>
      </w:r>
    </w:p>
    <w:p>
      <w:pPr>
        <w:numPr>
          <w:ilvl w:val="0"/>
          <w:numId w:val="1005"/>
        </w:numPr>
        <w:pStyle w:val="Compact"/>
      </w:pPr>
      <w:r>
        <w:rPr>
          <w:rStyle w:val="VerbatimChar"/>
        </w:rPr>
        <w:t xml:space="preserve">Prompts/Agent/Agent_design_framework.md</w:t>
      </w:r>
      <w:r>
        <w:t xml:space="preserve"> </w:t>
      </w:r>
      <w:r>
        <w:t xml:space="preserve">— agent tier model, naming, artefact set A–H (V1.2)</w:t>
      </w:r>
    </w:p>
    <w:p>
      <w:pPr>
        <w:numPr>
          <w:ilvl w:val="0"/>
          <w:numId w:val="1005"/>
        </w:numPr>
        <w:pStyle w:val="Compact"/>
      </w:pPr>
      <w:r>
        <w:rPr>
          <w:rStyle w:val="VerbatimChar"/>
        </w:rPr>
        <w:t xml:space="preserve">Prompts/ControlPlane/AIF_ControlPlane_design_framework.md</w:t>
      </w:r>
      <w:r>
        <w:t xml:space="preserve"> </w:t>
      </w:r>
      <w:r>
        <w:t xml:space="preserve">— Control Plane five-layer model (V1.0)</w:t>
      </w:r>
    </w:p>
    <w:p>
      <w:pPr>
        <w:numPr>
          <w:ilvl w:val="0"/>
          <w:numId w:val="1005"/>
        </w:numPr>
        <w:pStyle w:val="Compact"/>
      </w:pPr>
      <w:r>
        <w:rPr>
          <w:rStyle w:val="VerbatimChar"/>
        </w:rPr>
        <w:t xml:space="preserve">Prompts/RAISE/RAISE_generation_agent.md</w:t>
      </w:r>
      <w:r>
        <w:t xml:space="preserve"> </w:t>
      </w:r>
      <w:r>
        <w:t xml:space="preserve">— RAISE configuration workflow (v1.2)</w:t>
      </w:r>
    </w:p>
    <w:p>
      <w:pPr>
        <w:numPr>
          <w:ilvl w:val="0"/>
          <w:numId w:val="1005"/>
        </w:numPr>
        <w:pStyle w:val="Compact"/>
      </w:pPr>
      <w:r>
        <w:rPr>
          <w:rStyle w:val="VerbatimChar"/>
        </w:rPr>
        <w:t xml:space="preserve">Prompts/Explorer/Explorer_design_framework.md</w:t>
      </w:r>
      <w:r>
        <w:t xml:space="preserve"> </w:t>
      </w:r>
      <w:r>
        <w:t xml:space="preserve">— Explorer design and IA (v1.2)</w:t>
      </w:r>
    </w:p>
    <w:p>
      <w:pPr>
        <w:numPr>
          <w:ilvl w:val="0"/>
          <w:numId w:val="1005"/>
        </w:numPr>
        <w:pStyle w:val="Compact"/>
      </w:pPr>
      <w:r>
        <w:rPr>
          <w:rStyle w:val="VerbatimChar"/>
        </w:rPr>
        <w:t xml:space="preserve">Capital Performance/CAPITAL_PERFORMANCE_README.md</w:t>
      </w:r>
      <w:r>
        <w:t xml:space="preserve"> </w:t>
      </w:r>
      <w:r>
        <w:t xml:space="preserve">— reference framework for all worked examples</w:t>
      </w:r>
    </w:p>
    <w:sectPr w:rsidR="00FC693F" w:rsidRPr="0006063C" w:rsidSect="00034616">
      <w:footerReference w:type="default" r:id="rId9"/>
      <w:pgSz w:w="11906" w:h="16838"/>
      <w:pgMar w:top="1440" w:right="1440" w:bottom="1440" w:left="144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808080"/>
        <w:sz w:val="18"/>
      </w:rPr>
      <w:t xml:space="preserve">Page </w:t>
    </w:r>
    <w:r>
      <w:rPr>
        <w:rFonts w:ascii="Calibri" w:hAnsi="Calibri"/>
        <w:color w:val="808080"/>
        <w:sz w:val="18"/>
      </w:rPr>
      <w:fldChar w:fldCharType="begin"/>
      <w:instrText>PAGE</w:instrText>
      <w:fldChar w:fldCharType="end"/>
    </w:r>
    <w:r>
      <w:rPr>
        <w:rFonts w:ascii="Calibri" w:hAnsi="Calibri"/>
        <w:color w:val="808080"/>
        <w:sz w:val="18"/>
      </w:rPr>
      <w:t xml:space="preserve"> of </w:t>
    </w:r>
    <w:r>
      <w:rPr>
        <w:rFonts w:ascii="Calibri" w:hAnsi="Calibri"/>
        <w:color w:val="808080"/>
        <w:sz w:val="18"/>
      </w:rPr>
      <w:fldChar w:fldCharType="begin"/>
      <w:instrText>NUMPAGES</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pageBreakBefore w:val="0"/>
      <w:spacing w:before="0" w:after="160" w:line="276" w:lineRule="exact"/>
    </w:pPr>
    <w:rPr>
      <w:rFonts w:ascii="Calibri" w:hAnsi="Calibri"/>
      <w:b w:val="0"/>
      <w:i w:val="0"/>
      <w:color w:val="40404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val="0"/>
      <w:spacing w:before="360" w:after="120"/>
      <w:outlineLvl w:val="0"/>
    </w:pPr>
    <w:rPr>
      <w:rFonts w:asciiTheme="majorHAnsi" w:eastAsiaTheme="majorEastAsia" w:hAnsiTheme="majorHAnsi" w:cstheme="majorBidi" w:ascii="Calibri" w:hAnsi="Calibri"/>
      <w:b/>
      <w:bCs/>
      <w:i w:val="0"/>
      <w:color w:val="1B3A6B"/>
      <w:sz w:val="36"/>
      <w:szCs w:val="28"/>
    </w:rPr>
  </w:style>
  <w:style w:type="paragraph" w:styleId="Heading2">
    <w:name w:val="heading 2"/>
    <w:basedOn w:val="Normal"/>
    <w:next w:val="Normal"/>
    <w:link w:val="Heading2Char"/>
    <w:uiPriority w:val="9"/>
    <w:unhideWhenUsed/>
    <w:qFormat/>
    <w:rsid w:val="00FC693F"/>
    <w:pPr>
      <w:keepNext/>
      <w:keepLines/>
      <w:pageBreakBefore w:val="0"/>
      <w:spacing w:before="280" w:after="80"/>
      <w:outlineLvl w:val="1"/>
    </w:pPr>
    <w:rPr>
      <w:rFonts w:asciiTheme="majorHAnsi" w:eastAsiaTheme="majorEastAsia" w:hAnsiTheme="majorHAnsi" w:cstheme="majorBidi" w:ascii="Calibri" w:hAnsi="Calibri"/>
      <w:b/>
      <w:bCs/>
      <w:i w:val="0"/>
      <w:color w:val="1B3A6B"/>
      <w:sz w:val="28"/>
      <w:szCs w:val="26"/>
    </w:rPr>
  </w:style>
  <w:style w:type="paragraph" w:styleId="Heading3">
    <w:name w:val="heading 3"/>
    <w:basedOn w:val="Normal"/>
    <w:next w:val="Normal"/>
    <w:link w:val="Heading3Char"/>
    <w:uiPriority w:val="9"/>
    <w:unhideWhenUsed/>
    <w:qFormat/>
    <w:rsid w:val="00FC693F"/>
    <w:pPr>
      <w:keepNext/>
      <w:keepLines/>
      <w:pageBreakBefore w:val="0"/>
      <w:spacing w:before="200" w:after="80"/>
      <w:outlineLvl w:val="2"/>
    </w:pPr>
    <w:rPr>
      <w:rFonts w:asciiTheme="majorHAnsi" w:eastAsiaTheme="majorEastAsia" w:hAnsiTheme="majorHAnsi" w:cstheme="majorBidi" w:ascii="Calibri" w:hAnsi="Calibri"/>
      <w:b/>
      <w:bCs/>
      <w:i w:val="0"/>
      <w:color w:val="2E75B6"/>
      <w:sz w:val="24"/>
    </w:rPr>
  </w:style>
  <w:style w:type="paragraph" w:styleId="Heading4">
    <w:name w:val="heading 4"/>
    <w:basedOn w:val="Normal"/>
    <w:next w:val="Normal"/>
    <w:link w:val="Heading4Char"/>
    <w:uiPriority w:val="9"/>
    <w:semiHidden/>
    <w:unhideWhenUsed/>
    <w:qFormat/>
    <w:rsid w:val="00FC693F"/>
    <w:pPr>
      <w:keepNext/>
      <w:keepLines/>
      <w:pageBreakBefore w:val="0"/>
      <w:spacing w:before="160" w:after="80"/>
      <w:outlineLvl w:val="3"/>
    </w:pPr>
    <w:rPr>
      <w:rFonts w:asciiTheme="majorHAnsi" w:eastAsiaTheme="majorEastAsia" w:hAnsiTheme="majorHAnsi" w:cstheme="majorBidi" w:ascii="Calibri" w:hAnsi="Calibri"/>
      <w:b/>
      <w:bCs/>
      <w:i/>
      <w:iCs/>
      <w:color w:val="2E75B6"/>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val="0"/>
      <w:pageBreakBefore w:val="0"/>
      <w:pBdr>
        <w:bottom w:val="single" w:sz="8" w:space="4" w:color="4F81BD" w:themeColor="accent1"/>
      </w:pBdr>
      <w:spacing w:after="120" w:line="240" w:lineRule="auto" w:before="0"/>
      <w:contextualSpacing/>
      <w:jc w:val="left"/>
    </w:pPr>
    <w:rPr>
      <w:rFonts w:asciiTheme="majorHAnsi" w:eastAsiaTheme="majorEastAsia" w:hAnsiTheme="majorHAnsi" w:cstheme="majorBidi" w:ascii="Calibri" w:hAnsi="Calibri"/>
      <w:b/>
      <w:i w:val="0"/>
      <w:color w:val="1B3A6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val="0"/>
      <w:pageBreakBefore w:val="0"/>
      <w:numPr>
        <w:ilvl w:val="1"/>
      </w:numPr>
      <w:spacing w:before="0" w:after="200"/>
      <w:jc w:val="left"/>
    </w:pPr>
    <w:rPr>
      <w:rFonts w:asciiTheme="majorHAnsi" w:eastAsiaTheme="majorEastAsia" w:hAnsiTheme="majorHAnsi" w:cstheme="majorBidi" w:ascii="Calibri" w:hAnsi="Calibri"/>
      <w:b w:val="0"/>
      <w:i w:val="0"/>
      <w:iCs/>
      <w:color w:val="2E75B6"/>
      <w:spacing w:val="15"/>
      <w:sz w:val="3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keepNext w:val="0"/>
      <w:pageBreakBefore w:val="0"/>
      <w:spacing w:after="160" w:before="0" w:line="276" w:lineRule="exact"/>
    </w:pPr>
    <w:rPr>
      <w:rFonts w:ascii="Calibri" w:hAnsi="Calibri"/>
      <w:b w:val="0"/>
      <w:i w:val="0"/>
      <w:color w:val="404040"/>
      <w:sz w:val="22"/>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keepNext w:val="0"/>
      <w:pageBreakBefore w:val="0"/>
      <w:spacing w:before="240" w:after="160"/>
      <w:outlineLvl w:val="9"/>
    </w:pPr>
    <w:rPr>
      <w:rFonts w:ascii="Calibri" w:hAnsi="Calibri"/>
      <w:b/>
      <w:i w:val="0"/>
      <w:color w:val="1B3A6B"/>
      <w:sz w:val="28"/>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uthor">
    <w:name w:val="Author"/>
    <w:pPr>
      <w:keepNext w:val="0"/>
      <w:pageBreakBefore w:val="0"/>
      <w:spacing w:before="0" w:after="80"/>
    </w:pPr>
    <w:rPr>
      <w:rFonts w:ascii="Calibri" w:hAnsi="Calibri"/>
      <w:b w:val="0"/>
      <w:i w:val="0"/>
      <w:color w:val="808080"/>
      <w:sz w:val="20"/>
    </w:rPr>
  </w:style>
  <w:style w:type="paragraph" w:customStyle="1" w:styleId="Date">
    <w:name w:val="Date"/>
    <w:pPr>
      <w:keepNext w:val="0"/>
      <w:pageBreakBefore w:val="0"/>
      <w:spacing w:before="0" w:after="320"/>
    </w:pPr>
    <w:rPr>
      <w:rFonts w:ascii="Calibri" w:hAnsi="Calibri"/>
      <w:b w:val="0"/>
      <w:i w:val="0"/>
      <w:color w:val="808080"/>
      <w:sz w:val="20"/>
    </w:rPr>
  </w:style>
  <w:style w:type="paragraph" w:customStyle="1" w:styleId="TOC1">
    <w:name w:val="TOC 1"/>
    <w:pPr>
      <w:keepNext w:val="0"/>
      <w:pageBreakBefore w:val="0"/>
      <w:spacing w:before="40" w:after="40"/>
      <w:ind w:left="0"/>
    </w:pPr>
    <w:rPr>
      <w:rFonts w:ascii="Calibri" w:hAnsi="Calibri"/>
      <w:b w:val="0"/>
      <w:i w:val="0"/>
      <w:color w:val="1B3A6B"/>
      <w:sz w:val="22"/>
    </w:rPr>
  </w:style>
  <w:style w:type="paragraph" w:customStyle="1" w:styleId="TOC2">
    <w:name w:val="TOC 2"/>
    <w:pPr>
      <w:keepNext w:val="0"/>
      <w:pageBreakBefore w:val="0"/>
      <w:spacing w:before="20" w:after="20"/>
      <w:ind w:left="317"/>
    </w:pPr>
    <w:rPr>
      <w:rFonts w:ascii="Calibri" w:hAnsi="Calibri"/>
      <w:b w:val="0"/>
      <w:i w:val="0"/>
      <w:color w:val="404040"/>
      <w:sz w:val="20"/>
    </w:rPr>
  </w:style>
  <w:style w:type="paragraph" w:customStyle="1" w:styleId="TOC3">
    <w:name w:val="TOC 3"/>
    <w:pPr>
      <w:keepNext w:val="0"/>
      <w:pageBreakBefore w:val="0"/>
      <w:spacing w:before="0" w:after="20"/>
      <w:ind w:left="634"/>
    </w:pPr>
    <w:rPr>
      <w:rFonts w:ascii="Calibri" w:hAnsi="Calibri"/>
      <w:b w:val="0"/>
      <w:i w:val="0"/>
      <w:color w:val="404040"/>
      <w:sz w:val="18"/>
    </w:rPr>
  </w:style>
  <w:style w:type="paragraph" w:customStyle="1" w:styleId="SourceCode">
    <w:name w:val="Source Code"/>
    <w:pPr>
      <w:keepNext w:val="0"/>
      <w:pageBreakBefore w:val="0"/>
      <w:spacing w:before="120" w:after="120" w:line="240" w:lineRule="exact"/>
      <w:shd w:val="clear" w:color="auto" w:fill="F2F2F2"/>
    </w:pPr>
    <w:rPr>
      <w:rFonts w:ascii="Courier New" w:hAnsi="Courier New"/>
      <w:b w:val="0"/>
      <w:i w:val="0"/>
      <w:color w:val="404040"/>
      <w:sz w:val="18"/>
    </w:rPr>
  </w:style>
  <w:style w:type="paragraph" w:customStyle="1" w:styleId="DocumentMetadata">
    <w:name w:val="Document Metadata"/>
    <w:pPr>
      <w:keepNext w:val="0"/>
      <w:pageBreakBefore w:val="0"/>
      <w:spacing w:before="80" w:after="120" w:line="276" w:lineRule="exact"/>
    </w:pPr>
    <w:rPr>
      <w:rFonts w:ascii="Calibri" w:hAnsi="Calibri"/>
      <w:b w:val="0"/>
      <w:i w:val="0"/>
      <w:color w:val="404040"/>
      <w:sz w:val="20"/>
    </w:rPr>
  </w:style>
  <w:style w:type="character" w:customStyle="1" w:styleId="VerbatimChar">
    <w:name w:val="Verbatim Char"/>
    <w:rPr>
      <w:rFonts w:ascii="Courier New" w:hAnsi="Courier New"/>
      <w:sz w:val="18"/>
    </w:r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AIF Methodology Manual</dc:title>
  <dc:creator>Capgemini Invent — AIF Design Team</dc:creator>
  <cp:keywords/>
  <dcterms:created xsi:type="dcterms:W3CDTF">2026-09-06T16:06:43Z</dcterms:created>
  <dcterms:modified xsi:type="dcterms:W3CDTF">2026-09-06T16:06:43Z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2026/09/06</vt:lpwstr>
  </property>
  <property fmtid="{D5CDD505-2E9C-101B-9397-08002B2CF9AE}" pid="3" name="numbersections">
    <vt:lpwstr>False</vt:lpwstr>
  </property>
  <property fmtid="{D5CDD505-2E9C-101B-9397-08002B2CF9AE}" pid="4" name="subtitle">
    <vt:lpwstr>Agentic Industry Frameworks</vt:lpwstr>
  </property>
  <property fmtid="{D5CDD505-2E9C-101B-9397-08002B2CF9AE}" pid="5" name="toc">
    <vt:lpwstr>True</vt:lpwstr>
  </property>
  <property fmtid="{D5CDD505-2E9C-101B-9397-08002B2CF9AE}" pid="6" name="toc-depth">
    <vt:lpwstr>3</vt:lpwstr>
  </property>
  <property fmtid="{D5CDD505-2E9C-101B-9397-08002B2CF9AE}" pid="7" name="version">
    <vt:lpwstr>1.9</vt:lpwstr>
  </property>
</Properties>
</file>